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81" w:rsidRPr="00832388" w:rsidRDefault="00B57381" w:rsidP="00B57381">
      <w:pPr>
        <w:rPr>
          <w:b/>
          <w:sz w:val="26"/>
          <w:szCs w:val="26"/>
        </w:rPr>
      </w:pPr>
      <w:r w:rsidRPr="00832388">
        <w:rPr>
          <w:b/>
          <w:sz w:val="26"/>
          <w:szCs w:val="26"/>
        </w:rPr>
        <w:t>Pressemitteilung</w:t>
      </w:r>
      <w:r w:rsidRPr="00832388">
        <w:rPr>
          <w:b/>
          <w:sz w:val="26"/>
          <w:szCs w:val="26"/>
        </w:rPr>
        <w:tab/>
      </w:r>
      <w:r w:rsidRPr="00832388">
        <w:rPr>
          <w:b/>
          <w:sz w:val="26"/>
          <w:szCs w:val="26"/>
        </w:rPr>
        <w:tab/>
      </w:r>
      <w:r w:rsidRPr="00832388">
        <w:rPr>
          <w:b/>
          <w:sz w:val="26"/>
          <w:szCs w:val="26"/>
        </w:rPr>
        <w:tab/>
      </w:r>
      <w:r w:rsidRPr="00832388">
        <w:rPr>
          <w:b/>
          <w:sz w:val="26"/>
          <w:szCs w:val="26"/>
        </w:rPr>
        <w:tab/>
      </w:r>
      <w:r w:rsidRPr="00832388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E67A75">
        <w:rPr>
          <w:b/>
          <w:noProof/>
          <w:sz w:val="26"/>
          <w:szCs w:val="26"/>
        </w:rPr>
        <w:drawing>
          <wp:inline distT="0" distB="0" distL="0" distR="0" wp14:anchorId="0779E813" wp14:editId="6AC8DC51">
            <wp:extent cx="2667000" cy="657225"/>
            <wp:effectExtent l="0" t="0" r="0" b="9525"/>
            <wp:docPr id="1" name="Bild 1" descr="logo_far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o_farb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381" w:rsidRPr="00832388" w:rsidRDefault="00B57381" w:rsidP="00B57381">
      <w:pPr>
        <w:rPr>
          <w:color w:val="464646"/>
          <w:sz w:val="18"/>
          <w:szCs w:val="18"/>
        </w:rPr>
      </w:pPr>
      <w:r>
        <w:rPr>
          <w:color w:val="464646"/>
          <w:sz w:val="18"/>
          <w:szCs w:val="18"/>
        </w:rPr>
        <w:t>Pressestelle</w:t>
      </w:r>
    </w:p>
    <w:p w:rsidR="00B57381" w:rsidRPr="00832388" w:rsidRDefault="00B57381" w:rsidP="00B57381">
      <w:pPr>
        <w:ind w:left="5664" w:firstLine="708"/>
        <w:rPr>
          <w:sz w:val="28"/>
          <w:szCs w:val="28"/>
        </w:rPr>
      </w:pPr>
    </w:p>
    <w:p w:rsidR="001268A0" w:rsidRDefault="001268A0" w:rsidP="00B57381">
      <w:pPr>
        <w:rPr>
          <w:color w:val="464646"/>
          <w:sz w:val="16"/>
          <w:szCs w:val="16"/>
        </w:rPr>
      </w:pPr>
      <w:r w:rsidRPr="00DC5D6E">
        <w:rPr>
          <w:color w:val="464646"/>
          <w:sz w:val="16"/>
          <w:szCs w:val="16"/>
        </w:rPr>
        <w:t>pressestelle@landratsamt-pirna.de</w:t>
      </w:r>
      <w:r>
        <w:rPr>
          <w:color w:val="464646"/>
          <w:sz w:val="16"/>
          <w:szCs w:val="16"/>
        </w:rPr>
        <w:t xml:space="preserve"> | </w:t>
      </w:r>
      <w:r w:rsidRPr="00DC5D6E">
        <w:rPr>
          <w:color w:val="464646"/>
          <w:sz w:val="16"/>
          <w:szCs w:val="16"/>
        </w:rPr>
        <w:t>www.landratsamt-pirna.de</w:t>
      </w:r>
      <w:r>
        <w:rPr>
          <w:color w:val="464646"/>
          <w:sz w:val="16"/>
          <w:szCs w:val="16"/>
        </w:rPr>
        <w:t xml:space="preserve"> </w:t>
      </w:r>
    </w:p>
    <w:p w:rsidR="001268A0" w:rsidRPr="001268A0" w:rsidRDefault="001268A0" w:rsidP="00B57381">
      <w:pPr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 xml:space="preserve">Telefon: </w:t>
      </w:r>
      <w:r w:rsidRPr="001268A0">
        <w:rPr>
          <w:color w:val="333333"/>
          <w:sz w:val="16"/>
          <w:szCs w:val="16"/>
        </w:rPr>
        <w:t xml:space="preserve">03501 515-1110 | </w:t>
      </w:r>
      <w:r>
        <w:rPr>
          <w:color w:val="333333"/>
          <w:sz w:val="16"/>
          <w:szCs w:val="16"/>
        </w:rPr>
        <w:t xml:space="preserve">Mobil: </w:t>
      </w:r>
      <w:r w:rsidRPr="001268A0">
        <w:rPr>
          <w:color w:val="333333"/>
          <w:sz w:val="16"/>
          <w:szCs w:val="16"/>
        </w:rPr>
        <w:t>0151 11348804</w:t>
      </w:r>
    </w:p>
    <w:p w:rsidR="00B57381" w:rsidRDefault="00B57381" w:rsidP="00B57381"/>
    <w:tbl>
      <w:tblPr>
        <w:tblW w:w="6898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6898"/>
      </w:tblGrid>
      <w:tr w:rsidR="00B57381" w:rsidRPr="00DC5D6E" w:rsidTr="00093FB3">
        <w:trPr>
          <w:trHeight w:hRule="exact" w:val="85"/>
        </w:trPr>
        <w:tc>
          <w:tcPr>
            <w:tcW w:w="6898" w:type="dxa"/>
            <w:shd w:val="clear" w:color="auto" w:fill="D9D9D9"/>
          </w:tcPr>
          <w:p w:rsidR="00B57381" w:rsidRPr="00DC5D6E" w:rsidRDefault="00B57381" w:rsidP="00093FB3">
            <w:pPr>
              <w:rPr>
                <w:color w:val="464646"/>
                <w:sz w:val="16"/>
                <w:szCs w:val="16"/>
              </w:rPr>
            </w:pPr>
          </w:p>
        </w:tc>
      </w:tr>
    </w:tbl>
    <w:p w:rsidR="00B57381" w:rsidRDefault="00B57381" w:rsidP="00B57381"/>
    <w:p w:rsidR="00D80730" w:rsidRDefault="00D80730" w:rsidP="00C81C9A">
      <w:pPr>
        <w:jc w:val="both"/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2141"/>
        <w:gridCol w:w="3402"/>
      </w:tblGrid>
      <w:tr w:rsidR="00AA4C48" w:rsidTr="00AA4C48">
        <w:tc>
          <w:tcPr>
            <w:tcW w:w="2141" w:type="dxa"/>
            <w:shd w:val="clear" w:color="auto" w:fill="auto"/>
          </w:tcPr>
          <w:p w:rsidR="00AA4C48" w:rsidRPr="00482B1E" w:rsidRDefault="00AA4C48" w:rsidP="00A22159">
            <w:pPr>
              <w:ind w:right="1167"/>
              <w:rPr>
                <w:b/>
                <w:szCs w:val="22"/>
              </w:rPr>
            </w:pPr>
            <w:r w:rsidRPr="00482B1E">
              <w:rPr>
                <w:b/>
                <w:szCs w:val="22"/>
              </w:rPr>
              <w:t>Datum:</w:t>
            </w:r>
          </w:p>
        </w:tc>
        <w:tc>
          <w:tcPr>
            <w:tcW w:w="3402" w:type="dxa"/>
            <w:shd w:val="clear" w:color="auto" w:fill="auto"/>
          </w:tcPr>
          <w:p w:rsidR="00AA4C48" w:rsidRPr="00431D3B" w:rsidRDefault="00525DD0" w:rsidP="00B77BD4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564F60">
              <w:rPr>
                <w:szCs w:val="22"/>
              </w:rPr>
              <w:t>.</w:t>
            </w:r>
            <w:r w:rsidR="00B77BD4">
              <w:rPr>
                <w:szCs w:val="22"/>
              </w:rPr>
              <w:t>09</w:t>
            </w:r>
            <w:r w:rsidR="00564F60">
              <w:rPr>
                <w:szCs w:val="22"/>
              </w:rPr>
              <w:t>.</w:t>
            </w:r>
            <w:r w:rsidR="00B77BD4">
              <w:rPr>
                <w:szCs w:val="22"/>
              </w:rPr>
              <w:t>2026</w:t>
            </w:r>
          </w:p>
        </w:tc>
      </w:tr>
      <w:tr w:rsidR="00AA4C48" w:rsidTr="00AA4C48">
        <w:tc>
          <w:tcPr>
            <w:tcW w:w="2141" w:type="dxa"/>
            <w:shd w:val="clear" w:color="auto" w:fill="auto"/>
          </w:tcPr>
          <w:p w:rsidR="00AA4C48" w:rsidRPr="00482B1E" w:rsidRDefault="00AA4C48" w:rsidP="00A22159">
            <w:pPr>
              <w:jc w:val="both"/>
              <w:rPr>
                <w:b/>
                <w:szCs w:val="22"/>
              </w:rPr>
            </w:pPr>
            <w:r w:rsidRPr="00482B1E">
              <w:rPr>
                <w:b/>
                <w:szCs w:val="22"/>
              </w:rPr>
              <w:t>Nr.:</w:t>
            </w:r>
          </w:p>
        </w:tc>
        <w:tc>
          <w:tcPr>
            <w:tcW w:w="3402" w:type="dxa"/>
            <w:shd w:val="clear" w:color="auto" w:fill="auto"/>
          </w:tcPr>
          <w:p w:rsidR="00AA4C48" w:rsidRPr="00431D3B" w:rsidRDefault="00525DD0" w:rsidP="00ED174F">
            <w:pPr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196</w:t>
            </w:r>
          </w:p>
        </w:tc>
      </w:tr>
    </w:tbl>
    <w:p w:rsidR="00767D10" w:rsidRDefault="00767D10" w:rsidP="005156F6">
      <w:pPr>
        <w:ind w:left="851"/>
        <w:rPr>
          <w:b/>
          <w:sz w:val="24"/>
        </w:rPr>
      </w:pPr>
    </w:p>
    <w:p w:rsidR="00000D0C" w:rsidRDefault="00E26B1D" w:rsidP="00184A5F">
      <w:pPr>
        <w:ind w:left="851"/>
        <w:rPr>
          <w:b/>
          <w:bCs/>
          <w:iCs/>
          <w:sz w:val="24"/>
        </w:rPr>
      </w:pPr>
      <w:r w:rsidRPr="00E26B1D">
        <w:rPr>
          <w:b/>
          <w:bCs/>
          <w:iCs/>
          <w:sz w:val="24"/>
        </w:rPr>
        <w:t>Information zu Rechten der Grundstückseigentümer in einem vorgesehen</w:t>
      </w:r>
      <w:r w:rsidR="00F2039B">
        <w:rPr>
          <w:b/>
          <w:bCs/>
          <w:iCs/>
          <w:sz w:val="24"/>
        </w:rPr>
        <w:t>en</w:t>
      </w:r>
      <w:r w:rsidRPr="00E26B1D">
        <w:rPr>
          <w:b/>
          <w:bCs/>
          <w:iCs/>
          <w:sz w:val="24"/>
        </w:rPr>
        <w:t xml:space="preserve"> Vorranggebiet der Windenergienutzung</w:t>
      </w:r>
    </w:p>
    <w:p w:rsidR="00E26B1D" w:rsidRPr="005E467B" w:rsidRDefault="00E26B1D" w:rsidP="00184A5F">
      <w:pPr>
        <w:ind w:left="851"/>
        <w:rPr>
          <w:rFonts w:cs="Arial"/>
          <w:iCs/>
          <w:szCs w:val="22"/>
        </w:rPr>
      </w:pPr>
    </w:p>
    <w:p w:rsidR="00E26B1D" w:rsidRPr="00E26B1D" w:rsidRDefault="0024138B" w:rsidP="00E26B1D">
      <w:pPr>
        <w:ind w:left="851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Am</w:t>
      </w:r>
      <w:r w:rsidR="00E26B1D" w:rsidRPr="00E26B1D">
        <w:rPr>
          <w:rFonts w:cs="Arial"/>
          <w:iCs/>
          <w:szCs w:val="22"/>
        </w:rPr>
        <w:t xml:space="preserve"> 6. Juli 2026 endete das Anhörungsverfahren des Regionalen Planungsverband</w:t>
      </w:r>
      <w:r w:rsidR="00E26B1D">
        <w:rPr>
          <w:rFonts w:cs="Arial"/>
          <w:iCs/>
          <w:szCs w:val="22"/>
        </w:rPr>
        <w:t>es</w:t>
      </w:r>
      <w:r w:rsidR="00E26B1D" w:rsidRPr="00E26B1D">
        <w:rPr>
          <w:rFonts w:cs="Arial"/>
          <w:iCs/>
          <w:szCs w:val="22"/>
        </w:rPr>
        <w:t xml:space="preserve"> Oberes Elbtal/Osterzgebirge zur Entwurfsbeteiligung zum sachlichen Teilregionalplan Energi</w:t>
      </w:r>
      <w:r w:rsidR="00507D73">
        <w:rPr>
          <w:rFonts w:cs="Arial"/>
          <w:iCs/>
          <w:szCs w:val="22"/>
        </w:rPr>
        <w:t>eversorgung/Windenergienutzung.</w:t>
      </w:r>
    </w:p>
    <w:p w:rsidR="00E26B1D" w:rsidRPr="00E26B1D" w:rsidRDefault="00E26B1D" w:rsidP="00E26B1D">
      <w:pPr>
        <w:ind w:left="851"/>
        <w:rPr>
          <w:rFonts w:cs="Arial"/>
          <w:iCs/>
          <w:szCs w:val="22"/>
        </w:rPr>
      </w:pPr>
    </w:p>
    <w:p w:rsidR="00E26B1D" w:rsidRDefault="00E26B1D" w:rsidP="00E26B1D">
      <w:pPr>
        <w:ind w:left="851"/>
        <w:rPr>
          <w:rFonts w:cs="Arial"/>
          <w:iCs/>
          <w:szCs w:val="22"/>
        </w:rPr>
      </w:pPr>
      <w:r w:rsidRPr="00B05254">
        <w:rPr>
          <w:rFonts w:cs="Arial"/>
          <w:iCs/>
          <w:szCs w:val="22"/>
        </w:rPr>
        <w:t xml:space="preserve">Im Rahmen dieses langjährigen Planungsprozesses wurde </w:t>
      </w:r>
      <w:r w:rsidR="00D16A66">
        <w:rPr>
          <w:rFonts w:cs="Arial"/>
          <w:iCs/>
          <w:szCs w:val="22"/>
        </w:rPr>
        <w:t xml:space="preserve">hierbei </w:t>
      </w:r>
      <w:r w:rsidRPr="00B05254">
        <w:rPr>
          <w:rFonts w:cs="Arial"/>
          <w:iCs/>
          <w:szCs w:val="22"/>
        </w:rPr>
        <w:t xml:space="preserve">erstmals eine kartographische Darstellung </w:t>
      </w:r>
      <w:r w:rsidR="00D16A66">
        <w:rPr>
          <w:rFonts w:cs="Arial"/>
          <w:iCs/>
          <w:szCs w:val="22"/>
        </w:rPr>
        <w:t>beigefügt</w:t>
      </w:r>
      <w:r w:rsidRPr="00B05254">
        <w:rPr>
          <w:rFonts w:cs="Arial"/>
          <w:iCs/>
          <w:szCs w:val="22"/>
        </w:rPr>
        <w:t xml:space="preserve">, </w:t>
      </w:r>
      <w:r w:rsidR="00B05254" w:rsidRPr="00B05254">
        <w:rPr>
          <w:rFonts w:cs="Arial"/>
          <w:iCs/>
          <w:szCs w:val="22"/>
        </w:rPr>
        <w:t xml:space="preserve">die die </w:t>
      </w:r>
      <w:r w:rsidR="00D16A66">
        <w:rPr>
          <w:rFonts w:cs="Arial"/>
          <w:iCs/>
          <w:szCs w:val="22"/>
        </w:rPr>
        <w:t>auszuweisenden</w:t>
      </w:r>
      <w:r w:rsidR="00D16A66" w:rsidRPr="00B05254">
        <w:rPr>
          <w:rFonts w:cs="Arial"/>
          <w:iCs/>
          <w:szCs w:val="22"/>
        </w:rPr>
        <w:t xml:space="preserve"> </w:t>
      </w:r>
      <w:r w:rsidR="00D16A66">
        <w:rPr>
          <w:rFonts w:cs="Arial"/>
          <w:iCs/>
          <w:szCs w:val="22"/>
        </w:rPr>
        <w:t>Vorranggebiete</w:t>
      </w:r>
      <w:r w:rsidR="00D16A66" w:rsidRPr="00B05254">
        <w:rPr>
          <w:rFonts w:cs="Arial"/>
          <w:iCs/>
          <w:szCs w:val="22"/>
        </w:rPr>
        <w:t xml:space="preserve"> </w:t>
      </w:r>
      <w:r w:rsidR="00B05254" w:rsidRPr="00B05254">
        <w:rPr>
          <w:rFonts w:cs="Arial"/>
          <w:iCs/>
          <w:szCs w:val="22"/>
        </w:rPr>
        <w:t>für Windenergie klar aufzeigt</w:t>
      </w:r>
      <w:r w:rsidR="00D16A66">
        <w:rPr>
          <w:rFonts w:cs="Arial"/>
          <w:iCs/>
          <w:szCs w:val="22"/>
        </w:rPr>
        <w:t xml:space="preserve"> und verorten lässt</w:t>
      </w:r>
      <w:r w:rsidRPr="00B05254">
        <w:rPr>
          <w:rFonts w:cs="Arial"/>
          <w:iCs/>
          <w:szCs w:val="22"/>
        </w:rPr>
        <w:t>.</w:t>
      </w:r>
      <w:r w:rsidRPr="00E26B1D">
        <w:rPr>
          <w:rFonts w:cs="Arial"/>
          <w:iCs/>
          <w:szCs w:val="22"/>
        </w:rPr>
        <w:t xml:space="preserve"> Dadurch </w:t>
      </w:r>
      <w:r w:rsidR="00A2090A">
        <w:rPr>
          <w:rFonts w:cs="Arial"/>
          <w:iCs/>
          <w:szCs w:val="22"/>
        </w:rPr>
        <w:t xml:space="preserve">kann nun genau bestimmt werden, </w:t>
      </w:r>
      <w:r w:rsidRPr="00E26B1D">
        <w:rPr>
          <w:rFonts w:cs="Arial"/>
          <w:iCs/>
          <w:szCs w:val="22"/>
        </w:rPr>
        <w:t>welche Flächen für die Nutzung von Windenergie vo</w:t>
      </w:r>
      <w:r w:rsidR="00A2090A">
        <w:rPr>
          <w:rFonts w:cs="Arial"/>
          <w:iCs/>
          <w:szCs w:val="22"/>
        </w:rPr>
        <w:t xml:space="preserve">rgesehen sind. Dies ermöglicht </w:t>
      </w:r>
      <w:r w:rsidRPr="00E26B1D">
        <w:rPr>
          <w:rFonts w:cs="Arial"/>
          <w:iCs/>
          <w:szCs w:val="22"/>
        </w:rPr>
        <w:t>sowohl den Eigentümern der Flächen</w:t>
      </w:r>
      <w:r w:rsidR="00A2090A">
        <w:rPr>
          <w:rFonts w:cs="Arial"/>
          <w:iCs/>
          <w:szCs w:val="22"/>
        </w:rPr>
        <w:t xml:space="preserve"> als auch potentiellen Projektentwicklern zu </w:t>
      </w:r>
      <w:r w:rsidR="00B05254">
        <w:rPr>
          <w:rFonts w:cs="Arial"/>
          <w:iCs/>
          <w:szCs w:val="22"/>
        </w:rPr>
        <w:t>erkennen, welche Grundstück</w:t>
      </w:r>
      <w:r w:rsidR="00F2039B">
        <w:rPr>
          <w:rFonts w:cs="Arial"/>
          <w:iCs/>
          <w:szCs w:val="22"/>
        </w:rPr>
        <w:t>e</w:t>
      </w:r>
      <w:r w:rsidR="00B05254">
        <w:rPr>
          <w:rFonts w:cs="Arial"/>
          <w:iCs/>
          <w:szCs w:val="22"/>
        </w:rPr>
        <w:t xml:space="preserve"> </w:t>
      </w:r>
      <w:r w:rsidRPr="00E26B1D">
        <w:rPr>
          <w:rFonts w:cs="Arial"/>
          <w:iCs/>
          <w:szCs w:val="22"/>
        </w:rPr>
        <w:t>künftig ausschließlich</w:t>
      </w:r>
      <w:r w:rsidR="00A80C4F">
        <w:rPr>
          <w:rFonts w:cs="Arial"/>
          <w:iCs/>
          <w:szCs w:val="22"/>
        </w:rPr>
        <w:t xml:space="preserve"> – sobald ein rechtskräftiger Teilregionalplan vorliegt –</w:t>
      </w:r>
      <w:r w:rsidRPr="00E26B1D">
        <w:rPr>
          <w:rFonts w:cs="Arial"/>
          <w:iCs/>
          <w:szCs w:val="22"/>
        </w:rPr>
        <w:t xml:space="preserve"> für </w:t>
      </w:r>
      <w:r w:rsidR="00B05254">
        <w:rPr>
          <w:rFonts w:cs="Arial"/>
          <w:iCs/>
          <w:szCs w:val="22"/>
        </w:rPr>
        <w:t>den Bau von</w:t>
      </w:r>
      <w:r w:rsidRPr="00E26B1D">
        <w:rPr>
          <w:rFonts w:cs="Arial"/>
          <w:iCs/>
          <w:szCs w:val="22"/>
        </w:rPr>
        <w:t xml:space="preserve"> Windkraftanlage</w:t>
      </w:r>
      <w:r w:rsidR="00F2039B">
        <w:rPr>
          <w:rFonts w:cs="Arial"/>
          <w:iCs/>
          <w:szCs w:val="22"/>
        </w:rPr>
        <w:t>n</w:t>
      </w:r>
      <w:r w:rsidRPr="00E26B1D">
        <w:rPr>
          <w:rFonts w:cs="Arial"/>
          <w:iCs/>
          <w:szCs w:val="22"/>
        </w:rPr>
        <w:t xml:space="preserve"> infrage kommen.</w:t>
      </w:r>
    </w:p>
    <w:p w:rsidR="00B05254" w:rsidRDefault="00B05254" w:rsidP="00E26B1D">
      <w:pPr>
        <w:ind w:left="851"/>
        <w:rPr>
          <w:rFonts w:cs="Arial"/>
          <w:iCs/>
          <w:szCs w:val="22"/>
        </w:rPr>
      </w:pPr>
    </w:p>
    <w:p w:rsidR="00C013FE" w:rsidRPr="00C013FE" w:rsidRDefault="00C013FE" w:rsidP="00B05254">
      <w:pPr>
        <w:ind w:left="851"/>
        <w:rPr>
          <w:rFonts w:cs="Arial"/>
          <w:b/>
          <w:iCs/>
          <w:szCs w:val="22"/>
        </w:rPr>
      </w:pPr>
      <w:r w:rsidRPr="00C013FE">
        <w:rPr>
          <w:rFonts w:cs="Arial"/>
          <w:b/>
          <w:iCs/>
          <w:szCs w:val="22"/>
        </w:rPr>
        <w:t>Die Ausweisung von Vorrangge</w:t>
      </w:r>
      <w:r>
        <w:rPr>
          <w:rFonts w:cs="Arial"/>
          <w:b/>
          <w:iCs/>
          <w:szCs w:val="22"/>
        </w:rPr>
        <w:t>bieten schafft keine Baupflicht</w:t>
      </w:r>
    </w:p>
    <w:p w:rsidR="00C013FE" w:rsidRDefault="00C013FE" w:rsidP="00B05254">
      <w:pPr>
        <w:ind w:left="851"/>
        <w:rPr>
          <w:rFonts w:cs="Arial"/>
          <w:iCs/>
          <w:szCs w:val="22"/>
        </w:rPr>
      </w:pPr>
    </w:p>
    <w:p w:rsidR="00B05254" w:rsidRPr="00B05254" w:rsidRDefault="00B05254" w:rsidP="00B05254">
      <w:pPr>
        <w:ind w:left="851"/>
        <w:rPr>
          <w:rFonts w:cs="Arial"/>
          <w:iCs/>
          <w:szCs w:val="22"/>
        </w:rPr>
      </w:pPr>
      <w:r>
        <w:rPr>
          <w:rFonts w:cs="Arial"/>
          <w:iCs/>
          <w:szCs w:val="22"/>
        </w:rPr>
        <w:t xml:space="preserve">Wichtig </w:t>
      </w:r>
      <w:r w:rsidR="00A80C4F">
        <w:rPr>
          <w:rFonts w:cs="Arial"/>
          <w:iCs/>
          <w:szCs w:val="22"/>
        </w:rPr>
        <w:t>zu wissen ist</w:t>
      </w:r>
      <w:r>
        <w:rPr>
          <w:rFonts w:cs="Arial"/>
          <w:iCs/>
          <w:szCs w:val="22"/>
        </w:rPr>
        <w:t xml:space="preserve">: </w:t>
      </w:r>
      <w:r w:rsidR="00A80C4F">
        <w:rPr>
          <w:rFonts w:cs="Arial"/>
          <w:iCs/>
          <w:szCs w:val="22"/>
        </w:rPr>
        <w:t>D</w:t>
      </w:r>
      <w:r w:rsidRPr="00B05254">
        <w:rPr>
          <w:rFonts w:cs="Arial"/>
          <w:iCs/>
          <w:szCs w:val="22"/>
        </w:rPr>
        <w:t>ie Ausweisung</w:t>
      </w:r>
      <w:r w:rsidR="00A80C4F">
        <w:rPr>
          <w:rFonts w:cs="Arial"/>
          <w:iCs/>
          <w:szCs w:val="22"/>
        </w:rPr>
        <w:t xml:space="preserve"> von Vorranggebieten</w:t>
      </w:r>
      <w:r w:rsidRPr="00B05254">
        <w:rPr>
          <w:rFonts w:cs="Arial"/>
          <w:iCs/>
          <w:szCs w:val="22"/>
        </w:rPr>
        <w:t xml:space="preserve"> im Plan begründet </w:t>
      </w:r>
      <w:r w:rsidR="0092516F">
        <w:rPr>
          <w:rFonts w:cs="Arial"/>
          <w:iCs/>
          <w:szCs w:val="22"/>
        </w:rPr>
        <w:t xml:space="preserve">alleine </w:t>
      </w:r>
      <w:r w:rsidRPr="00B05254">
        <w:rPr>
          <w:rFonts w:cs="Arial"/>
          <w:iCs/>
          <w:szCs w:val="22"/>
        </w:rPr>
        <w:t xml:space="preserve">kein Baurecht. Für den Bau von Windkraftanlagen ist weiterhin ein Genehmigungsverfahren nach dem Bundes-Immissionsschutzgesetz erforderlich. Die Ausweisung als Vorranggebiet </w:t>
      </w:r>
      <w:r w:rsidR="00A80C4F">
        <w:rPr>
          <w:rFonts w:cs="Arial"/>
          <w:iCs/>
          <w:szCs w:val="22"/>
        </w:rPr>
        <w:t>kann daher als</w:t>
      </w:r>
      <w:r w:rsidR="00A80C4F" w:rsidRPr="00B05254">
        <w:rPr>
          <w:rFonts w:cs="Arial"/>
          <w:iCs/>
          <w:szCs w:val="22"/>
        </w:rPr>
        <w:t xml:space="preserve"> </w:t>
      </w:r>
      <w:r w:rsidRPr="00B05254">
        <w:rPr>
          <w:rFonts w:cs="Arial"/>
          <w:iCs/>
          <w:szCs w:val="22"/>
        </w:rPr>
        <w:t xml:space="preserve">eine rein planungsrechtliche Festlegung im </w:t>
      </w:r>
      <w:r w:rsidR="00A80C4F">
        <w:rPr>
          <w:rFonts w:cs="Arial"/>
          <w:iCs/>
          <w:szCs w:val="22"/>
        </w:rPr>
        <w:t>Kontext</w:t>
      </w:r>
      <w:r w:rsidR="00A80C4F" w:rsidRPr="00B05254">
        <w:rPr>
          <w:rFonts w:cs="Arial"/>
          <w:iCs/>
          <w:szCs w:val="22"/>
        </w:rPr>
        <w:t xml:space="preserve"> </w:t>
      </w:r>
      <w:r w:rsidRPr="00B05254">
        <w:rPr>
          <w:rFonts w:cs="Arial"/>
          <w:iCs/>
          <w:szCs w:val="22"/>
        </w:rPr>
        <w:t>der Raumordnung</w:t>
      </w:r>
      <w:r w:rsidR="00A80C4F">
        <w:rPr>
          <w:rFonts w:cs="Arial"/>
          <w:iCs/>
          <w:szCs w:val="22"/>
        </w:rPr>
        <w:t xml:space="preserve"> verstanden werden</w:t>
      </w:r>
      <w:r w:rsidRPr="00B05254">
        <w:rPr>
          <w:rFonts w:cs="Arial"/>
          <w:iCs/>
          <w:szCs w:val="22"/>
        </w:rPr>
        <w:t>. Sie führt weder zu einer automatischen Enteignung</w:t>
      </w:r>
      <w:r w:rsidR="00A80C4F">
        <w:rPr>
          <w:rFonts w:cs="Arial"/>
          <w:iCs/>
          <w:szCs w:val="22"/>
        </w:rPr>
        <w:t>,</w:t>
      </w:r>
      <w:r w:rsidRPr="00B05254">
        <w:rPr>
          <w:rFonts w:cs="Arial"/>
          <w:iCs/>
          <w:szCs w:val="22"/>
        </w:rPr>
        <w:t xml:space="preserve"> noch </w:t>
      </w:r>
      <w:r w:rsidR="00A80C4F" w:rsidRPr="00A80C4F">
        <w:rPr>
          <w:rFonts w:cs="Arial"/>
          <w:iCs/>
          <w:szCs w:val="22"/>
        </w:rPr>
        <w:t>verpflichtet sie zur Duldung des Baus von Windkraftanlagen auf den betreffenden Flächen.</w:t>
      </w:r>
    </w:p>
    <w:p w:rsidR="00B05254" w:rsidRPr="00B05254" w:rsidRDefault="00B05254" w:rsidP="00B05254">
      <w:pPr>
        <w:ind w:left="851"/>
        <w:rPr>
          <w:rFonts w:cs="Arial"/>
          <w:iCs/>
          <w:szCs w:val="22"/>
        </w:rPr>
      </w:pPr>
    </w:p>
    <w:p w:rsidR="00E26B1D" w:rsidRDefault="00A80C4F" w:rsidP="00B05254">
      <w:pPr>
        <w:ind w:left="851"/>
        <w:rPr>
          <w:rFonts w:cs="Arial"/>
          <w:iCs/>
          <w:szCs w:val="22"/>
        </w:rPr>
      </w:pPr>
      <w:r>
        <w:rPr>
          <w:rFonts w:cs="Arial"/>
          <w:iCs/>
          <w:szCs w:val="22"/>
        </w:rPr>
        <w:t xml:space="preserve">Somit kann festgehalten werden, dass die </w:t>
      </w:r>
      <w:r w:rsidRPr="00A80C4F">
        <w:rPr>
          <w:rFonts w:cs="Arial"/>
          <w:iCs/>
          <w:szCs w:val="22"/>
        </w:rPr>
        <w:t xml:space="preserve">Ausweisung von Vorranggebieten keine </w:t>
      </w:r>
      <w:r w:rsidRPr="003B36D2">
        <w:rPr>
          <w:rFonts w:cs="Arial"/>
          <w:iCs/>
          <w:szCs w:val="22"/>
        </w:rPr>
        <w:t>Verpflichtung</w:t>
      </w:r>
      <w:r w:rsidRPr="00A80C4F">
        <w:rPr>
          <w:rFonts w:cs="Arial"/>
          <w:iCs/>
          <w:szCs w:val="22"/>
        </w:rPr>
        <w:t xml:space="preserve"> zum Bau impliziert.</w:t>
      </w:r>
      <w:r>
        <w:rPr>
          <w:rFonts w:cs="Arial"/>
          <w:iCs/>
          <w:szCs w:val="22"/>
        </w:rPr>
        <w:t xml:space="preserve"> Grundstückseigentümer</w:t>
      </w:r>
      <w:r w:rsidR="00B05254" w:rsidRPr="00B05254">
        <w:rPr>
          <w:rFonts w:cs="Arial"/>
          <w:iCs/>
          <w:szCs w:val="22"/>
        </w:rPr>
        <w:t xml:space="preserve"> </w:t>
      </w:r>
      <w:r>
        <w:rPr>
          <w:rFonts w:cs="Arial"/>
          <w:iCs/>
          <w:szCs w:val="22"/>
        </w:rPr>
        <w:t>eines</w:t>
      </w:r>
      <w:r w:rsidR="00B05254" w:rsidRPr="00B05254">
        <w:rPr>
          <w:rFonts w:cs="Arial"/>
          <w:iCs/>
          <w:szCs w:val="22"/>
        </w:rPr>
        <w:t xml:space="preserve"> vorgesehenen oder bereits ausgewiesenen Vorranggebiet</w:t>
      </w:r>
      <w:r w:rsidR="0021606B">
        <w:rPr>
          <w:rFonts w:cs="Arial"/>
          <w:iCs/>
          <w:szCs w:val="22"/>
        </w:rPr>
        <w:t>s</w:t>
      </w:r>
      <w:r w:rsidR="00B05254" w:rsidRPr="00B05254">
        <w:rPr>
          <w:rFonts w:cs="Arial"/>
          <w:iCs/>
          <w:szCs w:val="22"/>
        </w:rPr>
        <w:t xml:space="preserve"> behalten</w:t>
      </w:r>
      <w:r>
        <w:rPr>
          <w:rFonts w:cs="Arial"/>
          <w:iCs/>
          <w:szCs w:val="22"/>
        </w:rPr>
        <w:t xml:space="preserve"> weiterhin</w:t>
      </w:r>
      <w:r w:rsidR="00B05254" w:rsidRPr="00B05254">
        <w:rPr>
          <w:rFonts w:cs="Arial"/>
          <w:iCs/>
          <w:szCs w:val="22"/>
        </w:rPr>
        <w:t xml:space="preserve"> die Kontrolle über die Nutzung ihres Grundstücks</w:t>
      </w:r>
      <w:r>
        <w:rPr>
          <w:rFonts w:cs="Arial"/>
          <w:iCs/>
          <w:szCs w:val="22"/>
        </w:rPr>
        <w:t xml:space="preserve">, </w:t>
      </w:r>
      <w:r w:rsidR="0092516F" w:rsidRPr="0092516F">
        <w:rPr>
          <w:rFonts w:cs="Arial"/>
          <w:iCs/>
          <w:szCs w:val="22"/>
        </w:rPr>
        <w:t>zumindest hinsichtlich der Errichtung von Windenergieanlagen.</w:t>
      </w:r>
      <w:r w:rsidR="00B05254" w:rsidRPr="00B05254">
        <w:rPr>
          <w:rFonts w:cs="Arial"/>
          <w:iCs/>
          <w:szCs w:val="22"/>
        </w:rPr>
        <w:t xml:space="preserve"> Das verfassungsrechtlich geschützte Eigentumsrecht wird durch die Planung </w:t>
      </w:r>
      <w:r>
        <w:rPr>
          <w:rFonts w:cs="Arial"/>
          <w:iCs/>
          <w:szCs w:val="22"/>
        </w:rPr>
        <w:t xml:space="preserve">dahingehend </w:t>
      </w:r>
      <w:r w:rsidR="00B05254" w:rsidRPr="00B05254">
        <w:rPr>
          <w:rFonts w:cs="Arial"/>
          <w:iCs/>
          <w:szCs w:val="22"/>
        </w:rPr>
        <w:t>nicht beeinträchtigt.</w:t>
      </w:r>
    </w:p>
    <w:p w:rsidR="00B05254" w:rsidRPr="00E26B1D" w:rsidRDefault="00B05254" w:rsidP="00B05254">
      <w:pPr>
        <w:ind w:left="851"/>
        <w:rPr>
          <w:rFonts w:cs="Arial"/>
          <w:iCs/>
          <w:szCs w:val="22"/>
        </w:rPr>
      </w:pPr>
    </w:p>
    <w:p w:rsidR="00E26B1D" w:rsidRDefault="00B05254" w:rsidP="00E26B1D">
      <w:pPr>
        <w:ind w:left="851"/>
        <w:rPr>
          <w:rFonts w:cs="Arial"/>
          <w:iCs/>
          <w:szCs w:val="22"/>
        </w:rPr>
      </w:pPr>
      <w:r w:rsidRPr="00B05254">
        <w:rPr>
          <w:rFonts w:cs="Arial"/>
          <w:iCs/>
          <w:szCs w:val="22"/>
        </w:rPr>
        <w:t xml:space="preserve">Dies bedeutet </w:t>
      </w:r>
      <w:r w:rsidR="0092516F">
        <w:rPr>
          <w:rFonts w:cs="Arial"/>
          <w:iCs/>
          <w:szCs w:val="22"/>
        </w:rPr>
        <w:t xml:space="preserve">im Umkehrschluss </w:t>
      </w:r>
      <w:r w:rsidRPr="00B05254">
        <w:rPr>
          <w:rFonts w:cs="Arial"/>
          <w:iCs/>
          <w:szCs w:val="22"/>
        </w:rPr>
        <w:t xml:space="preserve">auch, dass </w:t>
      </w:r>
      <w:r w:rsidR="0092516F">
        <w:rPr>
          <w:rFonts w:cs="Arial"/>
          <w:iCs/>
          <w:szCs w:val="22"/>
        </w:rPr>
        <w:t>Grundstü</w:t>
      </w:r>
      <w:r w:rsidR="00BA6991">
        <w:rPr>
          <w:rFonts w:cs="Arial"/>
          <w:iCs/>
          <w:szCs w:val="22"/>
        </w:rPr>
        <w:t>c</w:t>
      </w:r>
      <w:r w:rsidR="0092516F">
        <w:rPr>
          <w:rFonts w:cs="Arial"/>
          <w:iCs/>
          <w:szCs w:val="22"/>
        </w:rPr>
        <w:t>kse</w:t>
      </w:r>
      <w:r w:rsidRPr="00B05254">
        <w:rPr>
          <w:rFonts w:cs="Arial"/>
          <w:iCs/>
          <w:szCs w:val="22"/>
        </w:rPr>
        <w:t xml:space="preserve">igentümer das Recht haben, den Bau von Windkraftanlagen auf ihrem Grundstück abzulehnen. Ohne ihre </w:t>
      </w:r>
      <w:r w:rsidR="00BA6991">
        <w:rPr>
          <w:rFonts w:cs="Arial"/>
          <w:iCs/>
          <w:szCs w:val="22"/>
        </w:rPr>
        <w:t>Einwilligung</w:t>
      </w:r>
      <w:r w:rsidR="00BA6991" w:rsidRPr="00B05254">
        <w:rPr>
          <w:rFonts w:cs="Arial"/>
          <w:iCs/>
          <w:szCs w:val="22"/>
        </w:rPr>
        <w:t xml:space="preserve"> </w:t>
      </w:r>
      <w:r w:rsidRPr="00B05254">
        <w:rPr>
          <w:rFonts w:cs="Arial"/>
          <w:iCs/>
          <w:szCs w:val="22"/>
        </w:rPr>
        <w:t>kann keine Anlage</w:t>
      </w:r>
      <w:r w:rsidR="0092516F">
        <w:rPr>
          <w:rFonts w:cs="Arial"/>
          <w:iCs/>
          <w:szCs w:val="22"/>
        </w:rPr>
        <w:t xml:space="preserve"> auf diesen Flächen</w:t>
      </w:r>
      <w:r w:rsidRPr="00B05254">
        <w:rPr>
          <w:rFonts w:cs="Arial"/>
          <w:iCs/>
          <w:szCs w:val="22"/>
        </w:rPr>
        <w:t xml:space="preserve"> errichtet werden. Es besteht </w:t>
      </w:r>
      <w:r w:rsidR="00BA6991">
        <w:rPr>
          <w:rFonts w:cs="Arial"/>
          <w:iCs/>
          <w:szCs w:val="22"/>
        </w:rPr>
        <w:t>also</w:t>
      </w:r>
      <w:r w:rsidR="0092516F">
        <w:rPr>
          <w:rFonts w:cs="Arial"/>
          <w:iCs/>
          <w:szCs w:val="22"/>
        </w:rPr>
        <w:t xml:space="preserve"> </w:t>
      </w:r>
      <w:r w:rsidRPr="00B05254">
        <w:rPr>
          <w:rFonts w:cs="Arial"/>
          <w:iCs/>
          <w:szCs w:val="22"/>
        </w:rPr>
        <w:t xml:space="preserve">keine rechtliche Verpflichtung, </w:t>
      </w:r>
      <w:r w:rsidR="0092516F">
        <w:rPr>
          <w:rFonts w:cs="Arial"/>
          <w:iCs/>
          <w:szCs w:val="22"/>
        </w:rPr>
        <w:t xml:space="preserve">ausgewiesene </w:t>
      </w:r>
      <w:r w:rsidR="00BA6991" w:rsidRPr="00BA6991">
        <w:rPr>
          <w:rFonts w:cs="Arial"/>
          <w:iCs/>
          <w:szCs w:val="22"/>
        </w:rPr>
        <w:t>Flächen für den Bau von Windkraftanlagen bereitzustellen, noch besteht zwingend eine Verpflichtung, den Bau von Zufahrtswegen oder Kabeltrassen zu dulden.</w:t>
      </w:r>
    </w:p>
    <w:p w:rsidR="00507D73" w:rsidRDefault="00507D73" w:rsidP="00E26B1D">
      <w:pPr>
        <w:ind w:left="851"/>
        <w:rPr>
          <w:rFonts w:cs="Arial"/>
          <w:iCs/>
          <w:szCs w:val="22"/>
        </w:rPr>
      </w:pPr>
    </w:p>
    <w:p w:rsidR="00507D73" w:rsidRPr="00507D73" w:rsidRDefault="00507D73" w:rsidP="00E26B1D">
      <w:pPr>
        <w:ind w:left="851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Den</w:t>
      </w:r>
      <w:r w:rsidRPr="00507D73">
        <w:rPr>
          <w:rFonts w:cs="Arial"/>
          <w:b/>
          <w:iCs/>
          <w:szCs w:val="22"/>
        </w:rPr>
        <w:t xml:space="preserve"> Bau von Windkraftanlagen verhindern</w:t>
      </w:r>
      <w:r>
        <w:rPr>
          <w:rFonts w:cs="Arial"/>
          <w:b/>
          <w:iCs/>
          <w:szCs w:val="22"/>
        </w:rPr>
        <w:t>de</w:t>
      </w:r>
      <w:r w:rsidR="0021606B">
        <w:rPr>
          <w:rFonts w:cs="Arial"/>
          <w:b/>
          <w:iCs/>
          <w:szCs w:val="22"/>
        </w:rPr>
        <w:t>n</w:t>
      </w:r>
      <w:r>
        <w:rPr>
          <w:rFonts w:cs="Arial"/>
          <w:b/>
          <w:iCs/>
          <w:szCs w:val="22"/>
        </w:rPr>
        <w:t xml:space="preserve"> </w:t>
      </w:r>
      <w:r w:rsidRPr="00507D73">
        <w:rPr>
          <w:rFonts w:cs="Arial"/>
          <w:b/>
          <w:iCs/>
          <w:szCs w:val="22"/>
        </w:rPr>
        <w:t>Vorhaben</w:t>
      </w:r>
      <w:r>
        <w:rPr>
          <w:rFonts w:cs="Arial"/>
          <w:b/>
          <w:iCs/>
          <w:szCs w:val="22"/>
        </w:rPr>
        <w:t xml:space="preserve"> </w:t>
      </w:r>
      <w:r w:rsidRPr="00507D73">
        <w:rPr>
          <w:rFonts w:cs="Arial"/>
          <w:b/>
          <w:iCs/>
          <w:szCs w:val="22"/>
        </w:rPr>
        <w:t>sind auf Vorranggebiet</w:t>
      </w:r>
      <w:r>
        <w:rPr>
          <w:rFonts w:cs="Arial"/>
          <w:b/>
          <w:iCs/>
          <w:szCs w:val="22"/>
        </w:rPr>
        <w:t xml:space="preserve">en </w:t>
      </w:r>
      <w:r w:rsidRPr="00507D73">
        <w:rPr>
          <w:rFonts w:cs="Arial"/>
          <w:b/>
          <w:iCs/>
          <w:szCs w:val="22"/>
        </w:rPr>
        <w:t>ausgeschlossen</w:t>
      </w:r>
    </w:p>
    <w:p w:rsidR="00E26B1D" w:rsidRPr="00E26B1D" w:rsidRDefault="00E26B1D" w:rsidP="00E26B1D">
      <w:pPr>
        <w:ind w:left="851"/>
        <w:rPr>
          <w:rFonts w:cs="Arial"/>
          <w:iCs/>
          <w:szCs w:val="22"/>
        </w:rPr>
      </w:pPr>
    </w:p>
    <w:p w:rsidR="00E26B1D" w:rsidRPr="00E26B1D" w:rsidRDefault="00B05254" w:rsidP="00E26B1D">
      <w:pPr>
        <w:ind w:left="851"/>
        <w:rPr>
          <w:rFonts w:cs="Arial"/>
          <w:iCs/>
          <w:szCs w:val="22"/>
        </w:rPr>
      </w:pPr>
      <w:r w:rsidRPr="00B05254">
        <w:rPr>
          <w:rFonts w:cs="Arial"/>
          <w:iCs/>
          <w:szCs w:val="22"/>
        </w:rPr>
        <w:t xml:space="preserve">Die Ausweisung von Vorranggebieten </w:t>
      </w:r>
      <w:r w:rsidR="00BA6991">
        <w:rPr>
          <w:rFonts w:cs="Arial"/>
          <w:iCs/>
          <w:szCs w:val="22"/>
        </w:rPr>
        <w:t>führt</w:t>
      </w:r>
      <w:r w:rsidRPr="00B05254">
        <w:rPr>
          <w:rFonts w:cs="Arial"/>
          <w:iCs/>
          <w:szCs w:val="22"/>
        </w:rPr>
        <w:t xml:space="preserve"> jedoch</w:t>
      </w:r>
      <w:r w:rsidR="00BA6991">
        <w:rPr>
          <w:rFonts w:cs="Arial"/>
          <w:iCs/>
          <w:szCs w:val="22"/>
        </w:rPr>
        <w:t>, wie bereits angedeutet,</w:t>
      </w:r>
      <w:r w:rsidRPr="00B05254">
        <w:rPr>
          <w:rFonts w:cs="Arial"/>
          <w:iCs/>
          <w:szCs w:val="22"/>
        </w:rPr>
        <w:t xml:space="preserve"> </w:t>
      </w:r>
      <w:r w:rsidR="00BA6991">
        <w:rPr>
          <w:rFonts w:cs="Arial"/>
          <w:iCs/>
          <w:szCs w:val="22"/>
        </w:rPr>
        <w:t xml:space="preserve">zu </w:t>
      </w:r>
      <w:r w:rsidRPr="00B05254">
        <w:rPr>
          <w:rFonts w:cs="Arial"/>
          <w:iCs/>
          <w:szCs w:val="22"/>
        </w:rPr>
        <w:t>eine</w:t>
      </w:r>
      <w:r w:rsidR="00374185">
        <w:rPr>
          <w:rFonts w:cs="Arial"/>
          <w:iCs/>
          <w:szCs w:val="22"/>
        </w:rPr>
        <w:t>r</w:t>
      </w:r>
      <w:r w:rsidRPr="00B05254">
        <w:rPr>
          <w:rFonts w:cs="Arial"/>
          <w:iCs/>
          <w:szCs w:val="22"/>
        </w:rPr>
        <w:t xml:space="preserve"> Ausschlusswirkung </w:t>
      </w:r>
      <w:r w:rsidR="00BA6991">
        <w:rPr>
          <w:rFonts w:cs="Arial"/>
          <w:iCs/>
          <w:szCs w:val="22"/>
        </w:rPr>
        <w:t>in Bezug auf andere</w:t>
      </w:r>
      <w:r w:rsidRPr="00B05254">
        <w:rPr>
          <w:rFonts w:cs="Arial"/>
          <w:iCs/>
          <w:szCs w:val="22"/>
        </w:rPr>
        <w:t xml:space="preserve"> Nutzungen, die den Bau von Windkraftanlagen dauerhaft verhindern würden. So sind</w:t>
      </w:r>
      <w:r w:rsidR="00BA6991">
        <w:rPr>
          <w:rFonts w:cs="Arial"/>
          <w:iCs/>
          <w:szCs w:val="22"/>
        </w:rPr>
        <w:t xml:space="preserve"> b</w:t>
      </w:r>
      <w:r w:rsidR="00374185">
        <w:rPr>
          <w:rFonts w:cs="Arial"/>
          <w:iCs/>
          <w:szCs w:val="22"/>
        </w:rPr>
        <w:t xml:space="preserve">eispielsweise </w:t>
      </w:r>
      <w:r w:rsidRPr="00B05254">
        <w:rPr>
          <w:rFonts w:cs="Arial"/>
          <w:iCs/>
          <w:szCs w:val="22"/>
        </w:rPr>
        <w:t xml:space="preserve">Land- und Forstwirtschaft weiterhin </w:t>
      </w:r>
      <w:r w:rsidR="00BA6991">
        <w:rPr>
          <w:rFonts w:cs="Arial"/>
          <w:iCs/>
          <w:szCs w:val="22"/>
        </w:rPr>
        <w:t>zulässig</w:t>
      </w:r>
      <w:r w:rsidRPr="00B05254">
        <w:rPr>
          <w:rFonts w:cs="Arial"/>
          <w:iCs/>
          <w:szCs w:val="22"/>
        </w:rPr>
        <w:t xml:space="preserve">, </w:t>
      </w:r>
      <w:r w:rsidR="00BA6991">
        <w:rPr>
          <w:rFonts w:cs="Arial"/>
          <w:iCs/>
          <w:szCs w:val="22"/>
        </w:rPr>
        <w:t>allerdings kann</w:t>
      </w:r>
      <w:r w:rsidR="00BA6991" w:rsidRPr="00B05254">
        <w:rPr>
          <w:rFonts w:cs="Arial"/>
          <w:iCs/>
          <w:szCs w:val="22"/>
        </w:rPr>
        <w:t xml:space="preserve"> </w:t>
      </w:r>
      <w:r w:rsidRPr="00B05254">
        <w:rPr>
          <w:rFonts w:cs="Arial"/>
          <w:iCs/>
          <w:szCs w:val="22"/>
        </w:rPr>
        <w:t>der Bau einer großen Lagerhalle oder Freiflächen-Photovoltaikanlage</w:t>
      </w:r>
      <w:r w:rsidR="00BA6991">
        <w:rPr>
          <w:rFonts w:cs="Arial"/>
          <w:iCs/>
          <w:szCs w:val="22"/>
        </w:rPr>
        <w:t>n</w:t>
      </w:r>
      <w:r w:rsidRPr="00B05254">
        <w:rPr>
          <w:rFonts w:cs="Arial"/>
          <w:iCs/>
          <w:szCs w:val="22"/>
        </w:rPr>
        <w:t xml:space="preserve"> als Hauptnutzung </w:t>
      </w:r>
      <w:r w:rsidR="00BA6991">
        <w:rPr>
          <w:rFonts w:cs="Arial"/>
          <w:iCs/>
          <w:szCs w:val="22"/>
        </w:rPr>
        <w:lastRenderedPageBreak/>
        <w:t>möglicherweise nicht umgesetzt werden</w:t>
      </w:r>
      <w:r w:rsidRPr="00B05254">
        <w:rPr>
          <w:rFonts w:cs="Arial"/>
          <w:iCs/>
          <w:szCs w:val="22"/>
        </w:rPr>
        <w:t>.</w:t>
      </w:r>
      <w:r w:rsidR="00E26B1D" w:rsidRPr="00E26B1D">
        <w:rPr>
          <w:rFonts w:cs="Arial"/>
          <w:iCs/>
          <w:szCs w:val="22"/>
        </w:rPr>
        <w:t xml:space="preserve"> </w:t>
      </w:r>
      <w:r w:rsidR="00BA6991">
        <w:rPr>
          <w:rFonts w:cs="Arial"/>
          <w:iCs/>
          <w:szCs w:val="22"/>
        </w:rPr>
        <w:t xml:space="preserve">Dies </w:t>
      </w:r>
      <w:r w:rsidR="001C6B97">
        <w:rPr>
          <w:rFonts w:cs="Arial"/>
          <w:iCs/>
          <w:szCs w:val="22"/>
        </w:rPr>
        <w:t>liegt darin begründet</w:t>
      </w:r>
      <w:r w:rsidR="00BA6991">
        <w:rPr>
          <w:rFonts w:cs="Arial"/>
          <w:iCs/>
          <w:szCs w:val="22"/>
        </w:rPr>
        <w:t xml:space="preserve">, </w:t>
      </w:r>
      <w:r w:rsidR="001C6B97" w:rsidRPr="001C6B97">
        <w:rPr>
          <w:rFonts w:cs="Arial"/>
          <w:iCs/>
          <w:szCs w:val="22"/>
        </w:rPr>
        <w:t xml:space="preserve">dass durch die Ausweisung von Vorranggebieten der geplanten Nutzung – in diesem Fall der Errichtung von Windkraftanlagen – </w:t>
      </w:r>
      <w:r w:rsidR="001C6B97">
        <w:rPr>
          <w:rFonts w:cs="Arial"/>
          <w:iCs/>
          <w:szCs w:val="22"/>
        </w:rPr>
        <w:t>Vorrang</w:t>
      </w:r>
      <w:r w:rsidR="001C6B97" w:rsidRPr="001C6B97">
        <w:rPr>
          <w:rFonts w:cs="Arial"/>
          <w:iCs/>
          <w:szCs w:val="22"/>
        </w:rPr>
        <w:t xml:space="preserve"> gegenüber anderen Nutzungen eingeräumt wird.</w:t>
      </w:r>
      <w:r w:rsidR="00BA6991">
        <w:rPr>
          <w:rFonts w:cs="Arial"/>
          <w:iCs/>
          <w:szCs w:val="22"/>
        </w:rPr>
        <w:t xml:space="preserve"> Demgemäß dürfen auf solchen Flächen keine Vorhaben initiiert werden, die eine dauerhafte Einschränkung der Nutzung der Windenergie zur Folge hätten.</w:t>
      </w:r>
    </w:p>
    <w:p w:rsidR="001C6B97" w:rsidRDefault="001C6B97" w:rsidP="00E26B1D">
      <w:pPr>
        <w:ind w:left="851"/>
        <w:rPr>
          <w:rFonts w:cs="Arial"/>
          <w:iCs/>
          <w:szCs w:val="22"/>
        </w:rPr>
      </w:pPr>
    </w:p>
    <w:p w:rsidR="00E26B1D" w:rsidRDefault="001C6B97" w:rsidP="00E26B1D">
      <w:pPr>
        <w:ind w:left="851"/>
        <w:rPr>
          <w:rFonts w:cs="Arial"/>
          <w:iCs/>
          <w:szCs w:val="22"/>
        </w:rPr>
      </w:pPr>
      <w:r w:rsidRPr="001C6B97">
        <w:rPr>
          <w:rFonts w:cs="Arial"/>
          <w:iCs/>
          <w:szCs w:val="22"/>
        </w:rPr>
        <w:t xml:space="preserve">Darüber hinaus ermöglicht die Ausweisung von Vorranggebieten Projektentwicklern den Zugang zu Eigentumsinformationen, da sie aufgrund ihrer wirtschaftlichen </w:t>
      </w:r>
      <w:r>
        <w:rPr>
          <w:rFonts w:cs="Arial"/>
          <w:iCs/>
          <w:szCs w:val="22"/>
        </w:rPr>
        <w:t>Ausrichtung</w:t>
      </w:r>
      <w:r w:rsidRPr="001C6B97">
        <w:rPr>
          <w:rFonts w:cs="Arial"/>
          <w:iCs/>
          <w:szCs w:val="22"/>
        </w:rPr>
        <w:t xml:space="preserve"> ein „berechtigtes Interesse“ an diesen Daten geltend machen können.</w:t>
      </w:r>
      <w:r w:rsidR="00B05254" w:rsidRPr="00B05254">
        <w:rPr>
          <w:rFonts w:cs="Arial"/>
          <w:iCs/>
          <w:szCs w:val="22"/>
        </w:rPr>
        <w:t xml:space="preserve"> </w:t>
      </w:r>
      <w:r w:rsidR="00F2039B">
        <w:rPr>
          <w:rFonts w:cs="Arial"/>
          <w:iCs/>
          <w:szCs w:val="22"/>
        </w:rPr>
        <w:t>Das bedeutet, dass</w:t>
      </w:r>
      <w:r w:rsidR="00B05254" w:rsidRPr="00B05254">
        <w:rPr>
          <w:rFonts w:cs="Arial"/>
          <w:iCs/>
          <w:szCs w:val="22"/>
        </w:rPr>
        <w:t xml:space="preserve"> </w:t>
      </w:r>
      <w:r w:rsidR="00374185">
        <w:rPr>
          <w:rFonts w:cs="Arial"/>
          <w:iCs/>
          <w:szCs w:val="22"/>
        </w:rPr>
        <w:t xml:space="preserve">die </w:t>
      </w:r>
      <w:r>
        <w:rPr>
          <w:rFonts w:cs="Arial"/>
          <w:iCs/>
          <w:szCs w:val="22"/>
        </w:rPr>
        <w:t xml:space="preserve">Projektentwicklung dadurch in die Lage versetzt </w:t>
      </w:r>
      <w:r w:rsidR="00374185">
        <w:rPr>
          <w:rFonts w:cs="Arial"/>
          <w:iCs/>
          <w:szCs w:val="22"/>
        </w:rPr>
        <w:t>wird,</w:t>
      </w:r>
      <w:r w:rsidR="00374185" w:rsidRPr="001C6B97">
        <w:t xml:space="preserve"> </w:t>
      </w:r>
      <w:r>
        <w:t>d</w:t>
      </w:r>
      <w:r w:rsidRPr="001C6B97">
        <w:rPr>
          <w:rFonts w:cs="Arial"/>
          <w:iCs/>
          <w:szCs w:val="22"/>
        </w:rPr>
        <w:t xml:space="preserve">irekte Gespräche mit Grundstückseigentümern führen </w:t>
      </w:r>
      <w:r w:rsidR="00374185">
        <w:rPr>
          <w:rFonts w:cs="Arial"/>
          <w:iCs/>
          <w:szCs w:val="22"/>
        </w:rPr>
        <w:t xml:space="preserve">zu </w:t>
      </w:r>
      <w:r w:rsidRPr="001C6B97">
        <w:rPr>
          <w:rFonts w:cs="Arial"/>
          <w:iCs/>
          <w:szCs w:val="22"/>
        </w:rPr>
        <w:t>können</w:t>
      </w:r>
      <w:r w:rsidR="00B05254" w:rsidRPr="00B05254">
        <w:rPr>
          <w:rFonts w:cs="Arial"/>
          <w:iCs/>
          <w:szCs w:val="22"/>
        </w:rPr>
        <w:t xml:space="preserve">, zumal die zuständigen Ämter diese Daten </w:t>
      </w:r>
      <w:r w:rsidR="00374185">
        <w:rPr>
          <w:rFonts w:cs="Arial"/>
          <w:iCs/>
          <w:szCs w:val="22"/>
        </w:rPr>
        <w:t>aufgrund der genannten rechtlichen</w:t>
      </w:r>
      <w:r>
        <w:rPr>
          <w:rFonts w:cs="Arial"/>
          <w:iCs/>
          <w:szCs w:val="22"/>
        </w:rPr>
        <w:t xml:space="preserve"> </w:t>
      </w:r>
      <w:r w:rsidR="00374185">
        <w:rPr>
          <w:rFonts w:cs="Arial"/>
          <w:iCs/>
          <w:szCs w:val="22"/>
        </w:rPr>
        <w:t xml:space="preserve">Grundlagen </w:t>
      </w:r>
      <w:r>
        <w:rPr>
          <w:rFonts w:cs="Arial"/>
          <w:iCs/>
          <w:szCs w:val="22"/>
        </w:rPr>
        <w:t>grundsätzlich</w:t>
      </w:r>
      <w:r w:rsidRPr="00B05254">
        <w:rPr>
          <w:rFonts w:cs="Arial"/>
          <w:iCs/>
          <w:szCs w:val="22"/>
        </w:rPr>
        <w:t xml:space="preserve"> </w:t>
      </w:r>
      <w:r w:rsidR="00374185">
        <w:rPr>
          <w:rFonts w:cs="Arial"/>
          <w:iCs/>
          <w:szCs w:val="22"/>
        </w:rPr>
        <w:t xml:space="preserve">nicht </w:t>
      </w:r>
      <w:r w:rsidR="00B05254" w:rsidRPr="00B05254">
        <w:rPr>
          <w:rFonts w:cs="Arial"/>
          <w:iCs/>
          <w:szCs w:val="22"/>
        </w:rPr>
        <w:t>zurückhalten dürfen.</w:t>
      </w:r>
    </w:p>
    <w:p w:rsidR="0021606B" w:rsidRDefault="0021606B" w:rsidP="00E26B1D">
      <w:pPr>
        <w:ind w:left="851"/>
        <w:rPr>
          <w:rFonts w:cs="Arial"/>
          <w:iCs/>
          <w:szCs w:val="22"/>
        </w:rPr>
      </w:pPr>
    </w:p>
    <w:p w:rsidR="0021606B" w:rsidRPr="0021606B" w:rsidRDefault="0021606B" w:rsidP="00E26B1D">
      <w:pPr>
        <w:ind w:left="851"/>
        <w:rPr>
          <w:rFonts w:cs="Arial"/>
          <w:b/>
          <w:iCs/>
          <w:szCs w:val="22"/>
        </w:rPr>
      </w:pPr>
      <w:r w:rsidRPr="0021606B">
        <w:rPr>
          <w:rFonts w:cs="Arial"/>
          <w:b/>
          <w:iCs/>
          <w:szCs w:val="22"/>
        </w:rPr>
        <w:t>Eine Pflicht zur Bereitstellung von Bauflächen für Windkraftanlagen besteht nicht</w:t>
      </w:r>
    </w:p>
    <w:p w:rsidR="00B05254" w:rsidRPr="00E26B1D" w:rsidRDefault="00B05254" w:rsidP="00E26B1D">
      <w:pPr>
        <w:ind w:left="851"/>
        <w:rPr>
          <w:rFonts w:cs="Arial"/>
          <w:iCs/>
          <w:szCs w:val="22"/>
        </w:rPr>
      </w:pPr>
    </w:p>
    <w:p w:rsidR="00E26B1D" w:rsidRPr="00E26B1D" w:rsidRDefault="00E26B1D" w:rsidP="00E26B1D">
      <w:pPr>
        <w:ind w:left="851"/>
        <w:rPr>
          <w:rFonts w:cs="Arial"/>
          <w:iCs/>
          <w:szCs w:val="22"/>
        </w:rPr>
      </w:pPr>
      <w:r w:rsidRPr="00E26B1D">
        <w:rPr>
          <w:rFonts w:cs="Arial"/>
          <w:iCs/>
          <w:szCs w:val="22"/>
        </w:rPr>
        <w:t xml:space="preserve">Dennoch besteht </w:t>
      </w:r>
      <w:r w:rsidR="00B05254">
        <w:rPr>
          <w:rFonts w:cs="Arial"/>
          <w:iCs/>
          <w:szCs w:val="22"/>
        </w:rPr>
        <w:t>für</w:t>
      </w:r>
      <w:r w:rsidRPr="00E26B1D">
        <w:rPr>
          <w:rFonts w:cs="Arial"/>
          <w:iCs/>
          <w:szCs w:val="22"/>
        </w:rPr>
        <w:t xml:space="preserve"> </w:t>
      </w:r>
      <w:r w:rsidR="005D6635">
        <w:rPr>
          <w:rFonts w:cs="Arial"/>
          <w:iCs/>
          <w:szCs w:val="22"/>
        </w:rPr>
        <w:t>Grundstückseigentümer dahingehend</w:t>
      </w:r>
      <w:r w:rsidR="005D6635" w:rsidRPr="00E26B1D">
        <w:rPr>
          <w:rFonts w:cs="Arial"/>
          <w:iCs/>
          <w:szCs w:val="22"/>
        </w:rPr>
        <w:t xml:space="preserve"> </w:t>
      </w:r>
      <w:r w:rsidRPr="00E26B1D">
        <w:rPr>
          <w:rFonts w:cs="Arial"/>
          <w:iCs/>
          <w:szCs w:val="22"/>
        </w:rPr>
        <w:t>kein Druck</w:t>
      </w:r>
      <w:r w:rsidR="00B05254">
        <w:rPr>
          <w:rFonts w:cs="Arial"/>
          <w:iCs/>
          <w:szCs w:val="22"/>
        </w:rPr>
        <w:t>,</w:t>
      </w:r>
      <w:r w:rsidRPr="00E26B1D">
        <w:rPr>
          <w:rFonts w:cs="Arial"/>
          <w:iCs/>
          <w:szCs w:val="22"/>
        </w:rPr>
        <w:t xml:space="preserve"> sogenannte „Sicherungs</w:t>
      </w:r>
      <w:r w:rsidR="00B05254">
        <w:rPr>
          <w:rFonts w:cs="Arial"/>
          <w:iCs/>
          <w:szCs w:val="22"/>
        </w:rPr>
        <w:t>-</w:t>
      </w:r>
      <w:r w:rsidRPr="00E26B1D">
        <w:rPr>
          <w:rFonts w:cs="Arial"/>
          <w:iCs/>
          <w:szCs w:val="22"/>
        </w:rPr>
        <w:t xml:space="preserve">“ oder „Optionsverträge“ zu unterzeichnen. </w:t>
      </w:r>
      <w:r w:rsidR="005D6635">
        <w:rPr>
          <w:rFonts w:cs="Arial"/>
          <w:iCs/>
          <w:szCs w:val="22"/>
        </w:rPr>
        <w:t>Tatsächlich liegt das</w:t>
      </w:r>
      <w:r w:rsidR="005D6635" w:rsidRPr="00E26B1D">
        <w:rPr>
          <w:rFonts w:cs="Arial"/>
          <w:iCs/>
          <w:szCs w:val="22"/>
        </w:rPr>
        <w:t xml:space="preserve"> </w:t>
      </w:r>
      <w:r w:rsidRPr="00E26B1D">
        <w:rPr>
          <w:rFonts w:cs="Arial"/>
          <w:iCs/>
          <w:szCs w:val="22"/>
        </w:rPr>
        <w:t xml:space="preserve">planungsrechtliche Druckmittel </w:t>
      </w:r>
      <w:r w:rsidR="005D6635">
        <w:rPr>
          <w:rFonts w:cs="Arial"/>
          <w:iCs/>
          <w:szCs w:val="22"/>
        </w:rPr>
        <w:t>v</w:t>
      </w:r>
      <w:r w:rsidR="001C6B97">
        <w:rPr>
          <w:rFonts w:cs="Arial"/>
          <w:iCs/>
          <w:szCs w:val="22"/>
        </w:rPr>
        <w:t xml:space="preserve">iel mehr </w:t>
      </w:r>
      <w:r w:rsidRPr="00E26B1D">
        <w:rPr>
          <w:rFonts w:cs="Arial"/>
          <w:iCs/>
          <w:szCs w:val="22"/>
        </w:rPr>
        <w:t>bei den Flächeneigentümern, d</w:t>
      </w:r>
      <w:r w:rsidR="005D6635">
        <w:rPr>
          <w:rFonts w:cs="Arial"/>
          <w:iCs/>
          <w:szCs w:val="22"/>
        </w:rPr>
        <w:t>a</w:t>
      </w:r>
      <w:r w:rsidRPr="00E26B1D">
        <w:rPr>
          <w:rFonts w:cs="Arial"/>
          <w:iCs/>
          <w:szCs w:val="22"/>
        </w:rPr>
        <w:t xml:space="preserve"> ohne einen </w:t>
      </w:r>
      <w:r w:rsidR="001C6B97">
        <w:rPr>
          <w:rFonts w:cs="Arial"/>
          <w:iCs/>
          <w:szCs w:val="22"/>
        </w:rPr>
        <w:t xml:space="preserve">gestatteten </w:t>
      </w:r>
      <w:r w:rsidRPr="00E26B1D">
        <w:rPr>
          <w:rFonts w:cs="Arial"/>
          <w:iCs/>
          <w:szCs w:val="22"/>
        </w:rPr>
        <w:t xml:space="preserve">Flächenzugriff keine Windkraftanlage </w:t>
      </w:r>
      <w:r w:rsidR="001C6B97">
        <w:rPr>
          <w:rFonts w:cs="Arial"/>
          <w:iCs/>
          <w:szCs w:val="22"/>
        </w:rPr>
        <w:t>errichtet</w:t>
      </w:r>
      <w:r w:rsidR="001C6B97" w:rsidRPr="00E26B1D">
        <w:rPr>
          <w:rFonts w:cs="Arial"/>
          <w:iCs/>
          <w:szCs w:val="22"/>
        </w:rPr>
        <w:t xml:space="preserve"> </w:t>
      </w:r>
      <w:r w:rsidRPr="00E26B1D">
        <w:rPr>
          <w:rFonts w:cs="Arial"/>
          <w:iCs/>
          <w:szCs w:val="22"/>
        </w:rPr>
        <w:t>werden</w:t>
      </w:r>
      <w:r w:rsidR="005D6635">
        <w:rPr>
          <w:rFonts w:cs="Arial"/>
          <w:iCs/>
          <w:szCs w:val="22"/>
        </w:rPr>
        <w:t xml:space="preserve"> kann</w:t>
      </w:r>
      <w:r w:rsidR="00507D73">
        <w:rPr>
          <w:rFonts w:cs="Arial"/>
          <w:iCs/>
          <w:szCs w:val="22"/>
        </w:rPr>
        <w:t>.</w:t>
      </w:r>
    </w:p>
    <w:p w:rsidR="00E26B1D" w:rsidRPr="00E26B1D" w:rsidRDefault="00E26B1D" w:rsidP="00E26B1D">
      <w:pPr>
        <w:ind w:left="851"/>
        <w:rPr>
          <w:rFonts w:cs="Arial"/>
          <w:iCs/>
          <w:szCs w:val="22"/>
        </w:rPr>
      </w:pPr>
    </w:p>
    <w:p w:rsidR="005D6635" w:rsidRDefault="00B05254" w:rsidP="00E26B1D">
      <w:pPr>
        <w:ind w:left="851"/>
        <w:rPr>
          <w:rFonts w:cs="Arial"/>
          <w:iCs/>
          <w:szCs w:val="22"/>
        </w:rPr>
      </w:pPr>
      <w:r w:rsidRPr="0021606B">
        <w:rPr>
          <w:rFonts w:cs="Arial"/>
          <w:iCs/>
          <w:szCs w:val="22"/>
        </w:rPr>
        <w:t>Sollte</w:t>
      </w:r>
      <w:r w:rsidR="005D6635" w:rsidRPr="0021606B">
        <w:rPr>
          <w:rFonts w:cs="Arial"/>
          <w:iCs/>
          <w:szCs w:val="22"/>
        </w:rPr>
        <w:t xml:space="preserve">n die </w:t>
      </w:r>
      <w:r w:rsidRPr="0021606B">
        <w:rPr>
          <w:rFonts w:cs="Arial"/>
          <w:iCs/>
          <w:szCs w:val="22"/>
        </w:rPr>
        <w:t>Flächen</w:t>
      </w:r>
      <w:r w:rsidR="005D6635" w:rsidRPr="0021606B">
        <w:rPr>
          <w:rFonts w:cs="Arial"/>
          <w:iCs/>
          <w:szCs w:val="22"/>
        </w:rPr>
        <w:t xml:space="preserve"> jedoch</w:t>
      </w:r>
      <w:r w:rsidRPr="0021606B">
        <w:rPr>
          <w:rFonts w:cs="Arial"/>
          <w:iCs/>
          <w:szCs w:val="22"/>
        </w:rPr>
        <w:t xml:space="preserve"> verkauft oder verpachtet werden, empfiehlt es sich, neben der im Genehmigungsverfahren festgelegten Rückbauverpflichtung auch </w:t>
      </w:r>
      <w:r w:rsidR="005D6635" w:rsidRPr="0021606B">
        <w:rPr>
          <w:rFonts w:cs="Arial"/>
          <w:iCs/>
          <w:szCs w:val="22"/>
        </w:rPr>
        <w:t>privatrechtlich festzuhalten, dass der Betreiber den Rückbau</w:t>
      </w:r>
      <w:r w:rsidRPr="0021606B">
        <w:rPr>
          <w:rFonts w:cs="Arial"/>
          <w:iCs/>
          <w:szCs w:val="22"/>
        </w:rPr>
        <w:t xml:space="preserve"> – </w:t>
      </w:r>
      <w:r w:rsidR="005D6635" w:rsidRPr="0021606B">
        <w:rPr>
          <w:rFonts w:cs="Arial"/>
          <w:iCs/>
          <w:szCs w:val="22"/>
        </w:rPr>
        <w:t>einschließlich</w:t>
      </w:r>
      <w:r w:rsidRPr="0021606B">
        <w:rPr>
          <w:rFonts w:cs="Arial"/>
          <w:iCs/>
          <w:szCs w:val="22"/>
        </w:rPr>
        <w:t xml:space="preserve"> des Betonfundaments im Boden</w:t>
      </w:r>
      <w:r w:rsidR="005D6635" w:rsidRPr="0021606B">
        <w:rPr>
          <w:rFonts w:cs="Arial"/>
          <w:iCs/>
          <w:szCs w:val="22"/>
        </w:rPr>
        <w:t xml:space="preserve"> - übernimmt</w:t>
      </w:r>
      <w:r w:rsidRPr="0021606B">
        <w:rPr>
          <w:rFonts w:cs="Arial"/>
          <w:iCs/>
          <w:szCs w:val="22"/>
        </w:rPr>
        <w:t>. So ist ein geregelter Rückbau nach Ablauf der Betriebszeit sichergestellt.</w:t>
      </w:r>
      <w:r w:rsidR="0021606B">
        <w:rPr>
          <w:rFonts w:cs="Arial"/>
          <w:iCs/>
          <w:szCs w:val="22"/>
        </w:rPr>
        <w:t xml:space="preserve"> </w:t>
      </w:r>
      <w:r w:rsidR="00120015" w:rsidRPr="0021606B">
        <w:rPr>
          <w:rFonts w:cs="Arial"/>
          <w:iCs/>
          <w:szCs w:val="22"/>
        </w:rPr>
        <w:t>Ebenso sinnvoll ist die Vereinbarung eines Rücktrittsrechts, falls nach einer bestimmten Frist keine Genehmigung erteilt oder der Bau</w:t>
      </w:r>
      <w:r w:rsidR="00261487" w:rsidRPr="0021606B">
        <w:rPr>
          <w:rFonts w:cs="Arial"/>
          <w:iCs/>
          <w:szCs w:val="22"/>
        </w:rPr>
        <w:t xml:space="preserve"> nicht</w:t>
      </w:r>
      <w:r w:rsidR="00120015" w:rsidRPr="0021606B">
        <w:rPr>
          <w:rFonts w:cs="Arial"/>
          <w:iCs/>
          <w:szCs w:val="22"/>
        </w:rPr>
        <w:t xml:space="preserve"> begonnen wird. So wird verhindert, dass die Fläche dauerhaft blockiert bleibt</w:t>
      </w:r>
      <w:r w:rsidR="005D6635" w:rsidRPr="0021606B">
        <w:rPr>
          <w:rFonts w:cs="Arial"/>
          <w:iCs/>
          <w:szCs w:val="22"/>
        </w:rPr>
        <w:t>; die Ausweisung als Vorranggebiet bleibt davon unberührt, da sie durch übergeordnetes Planungsrecht erfolgt.</w:t>
      </w:r>
    </w:p>
    <w:p w:rsidR="00120015" w:rsidRPr="00E26B1D" w:rsidRDefault="00120015" w:rsidP="00E26B1D">
      <w:pPr>
        <w:ind w:left="851"/>
        <w:rPr>
          <w:rFonts w:cs="Arial"/>
          <w:iCs/>
          <w:szCs w:val="22"/>
        </w:rPr>
      </w:pPr>
    </w:p>
    <w:p w:rsidR="00D76EBF" w:rsidRDefault="00120015" w:rsidP="00E26B1D">
      <w:pPr>
        <w:ind w:left="851"/>
        <w:rPr>
          <w:rFonts w:cs="Arial"/>
          <w:iCs/>
          <w:szCs w:val="22"/>
        </w:rPr>
      </w:pPr>
      <w:r w:rsidRPr="00120015">
        <w:rPr>
          <w:rFonts w:cs="Arial"/>
          <w:iCs/>
          <w:szCs w:val="22"/>
        </w:rPr>
        <w:t xml:space="preserve">Bezüglich der Duldungspflicht für Zuwegungen oder Kabeltrassen ist </w:t>
      </w:r>
      <w:r w:rsidR="005D6635">
        <w:rPr>
          <w:rFonts w:cs="Arial"/>
          <w:iCs/>
          <w:szCs w:val="22"/>
        </w:rPr>
        <w:t xml:space="preserve">abschließend </w:t>
      </w:r>
      <w:r w:rsidRPr="00120015">
        <w:rPr>
          <w:rFonts w:cs="Arial"/>
          <w:iCs/>
          <w:szCs w:val="22"/>
        </w:rPr>
        <w:t>zu beachten, dass § 11a des Erneuerbare-Energien-Gesetzes (EEG) eine Duldungspflicht für öffentliche Wege (z.</w:t>
      </w:r>
      <w:r w:rsidR="005D6635">
        <w:rPr>
          <w:rFonts w:cs="Arial"/>
          <w:iCs/>
          <w:szCs w:val="22"/>
        </w:rPr>
        <w:t> </w:t>
      </w:r>
      <w:r w:rsidRPr="00120015">
        <w:rPr>
          <w:rFonts w:cs="Arial"/>
          <w:iCs/>
          <w:szCs w:val="22"/>
        </w:rPr>
        <w:t xml:space="preserve">B. Straßen, Feld- und Forstwege im Eigentum von </w:t>
      </w:r>
      <w:r w:rsidR="00D76EBF">
        <w:rPr>
          <w:rFonts w:cs="Arial"/>
          <w:iCs/>
          <w:szCs w:val="22"/>
        </w:rPr>
        <w:t>Kommunen, Ländern</w:t>
      </w:r>
      <w:r w:rsidR="00D76EBF" w:rsidRPr="00120015">
        <w:rPr>
          <w:rFonts w:cs="Arial"/>
          <w:iCs/>
          <w:szCs w:val="22"/>
        </w:rPr>
        <w:t xml:space="preserve"> </w:t>
      </w:r>
      <w:r w:rsidRPr="00120015">
        <w:rPr>
          <w:rFonts w:cs="Arial"/>
          <w:iCs/>
          <w:szCs w:val="22"/>
        </w:rPr>
        <w:t>oder</w:t>
      </w:r>
      <w:r w:rsidR="00D76EBF">
        <w:rPr>
          <w:rFonts w:cs="Arial"/>
          <w:iCs/>
          <w:szCs w:val="22"/>
        </w:rPr>
        <w:t xml:space="preserve"> dem Bund</w:t>
      </w:r>
      <w:r w:rsidRPr="00120015">
        <w:rPr>
          <w:rFonts w:cs="Arial"/>
          <w:iCs/>
          <w:szCs w:val="22"/>
        </w:rPr>
        <w:t>) vorsieht.</w:t>
      </w:r>
      <w:r w:rsidR="005D6635">
        <w:rPr>
          <w:rFonts w:cs="Arial"/>
          <w:iCs/>
          <w:szCs w:val="22"/>
        </w:rPr>
        <w:t xml:space="preserve"> </w:t>
      </w:r>
      <w:r w:rsidR="00D76EBF" w:rsidRPr="00D76EBF">
        <w:rPr>
          <w:rFonts w:cs="Arial"/>
          <w:iCs/>
          <w:szCs w:val="22"/>
        </w:rPr>
        <w:t xml:space="preserve">Dabei sind private Dritte aufgrund ihrer rechtlichen Position ausdrücklich </w:t>
      </w:r>
      <w:r w:rsidR="00D76EBF">
        <w:rPr>
          <w:rFonts w:cs="Arial"/>
          <w:iCs/>
          <w:szCs w:val="22"/>
        </w:rPr>
        <w:t>zurückgestellt</w:t>
      </w:r>
      <w:r w:rsidR="00D76EBF" w:rsidRPr="00D76EBF">
        <w:rPr>
          <w:rFonts w:cs="Arial"/>
          <w:iCs/>
          <w:szCs w:val="22"/>
        </w:rPr>
        <w:t>.</w:t>
      </w:r>
      <w:r w:rsidRPr="00120015">
        <w:rPr>
          <w:rFonts w:cs="Arial"/>
          <w:iCs/>
          <w:szCs w:val="22"/>
        </w:rPr>
        <w:t xml:space="preserve"> </w:t>
      </w:r>
      <w:r w:rsidR="00D76EBF">
        <w:rPr>
          <w:rFonts w:cs="Arial"/>
          <w:iCs/>
          <w:szCs w:val="22"/>
        </w:rPr>
        <w:t xml:space="preserve">Daher müssen </w:t>
      </w:r>
      <w:r w:rsidR="00D76EBF" w:rsidRPr="00D76EBF">
        <w:rPr>
          <w:rFonts w:cs="Arial"/>
          <w:iCs/>
          <w:szCs w:val="22"/>
        </w:rPr>
        <w:t>Projektentwickler</w:t>
      </w:r>
      <w:r w:rsidR="00D76EBF">
        <w:rPr>
          <w:rFonts w:cs="Arial"/>
          <w:iCs/>
          <w:szCs w:val="22"/>
        </w:rPr>
        <w:t xml:space="preserve"> zwingend</w:t>
      </w:r>
      <w:r w:rsidR="00D76EBF" w:rsidRPr="00D76EBF">
        <w:rPr>
          <w:rFonts w:cs="Arial"/>
          <w:iCs/>
          <w:szCs w:val="22"/>
        </w:rPr>
        <w:t xml:space="preserve"> zunächst überprüfen, ob die Nutzung öffentlicher Flächen für ihre Projekte</w:t>
      </w:r>
      <w:r w:rsidR="00D76EBF">
        <w:rPr>
          <w:rFonts w:cs="Arial"/>
          <w:iCs/>
          <w:szCs w:val="22"/>
        </w:rPr>
        <w:t>umsetzung</w:t>
      </w:r>
      <w:r w:rsidR="00D76EBF" w:rsidRPr="00D76EBF">
        <w:rPr>
          <w:rFonts w:cs="Arial"/>
          <w:iCs/>
          <w:szCs w:val="22"/>
        </w:rPr>
        <w:t xml:space="preserve"> möglich ist.</w:t>
      </w:r>
    </w:p>
    <w:p w:rsidR="00A2090A" w:rsidRPr="00E26B1D" w:rsidRDefault="00A2090A" w:rsidP="00E26B1D">
      <w:pPr>
        <w:ind w:left="851"/>
        <w:rPr>
          <w:rFonts w:cs="Arial"/>
          <w:iCs/>
          <w:szCs w:val="22"/>
        </w:rPr>
      </w:pPr>
    </w:p>
    <w:p w:rsidR="00E26B1D" w:rsidRDefault="00D76EBF" w:rsidP="00507D73">
      <w:pPr>
        <w:ind w:left="851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Dies bedeutet im Umkehrschluss,</w:t>
      </w:r>
      <w:r w:rsidRPr="00D76EBF">
        <w:t xml:space="preserve"> </w:t>
      </w:r>
      <w:r w:rsidRPr="00D76EBF">
        <w:rPr>
          <w:rFonts w:cs="Arial"/>
          <w:iCs/>
          <w:szCs w:val="22"/>
        </w:rPr>
        <w:t>dass private Grundstücke durch das Eigentumsrecht vor Eingriffen zum Zweck wirtschaftlicher Vorteile geschützt sind, solange eine technische Nutzung öffentlicher Flächen möglich ist.</w:t>
      </w:r>
      <w:r w:rsidR="00120015" w:rsidRPr="00120015">
        <w:rPr>
          <w:rFonts w:cs="Arial"/>
          <w:iCs/>
          <w:szCs w:val="22"/>
        </w:rPr>
        <w:t xml:space="preserve"> Erst wenn </w:t>
      </w:r>
      <w:r>
        <w:rPr>
          <w:rFonts w:cs="Arial"/>
          <w:iCs/>
          <w:szCs w:val="22"/>
        </w:rPr>
        <w:t>„</w:t>
      </w:r>
      <w:r w:rsidR="00120015" w:rsidRPr="00120015">
        <w:rPr>
          <w:rFonts w:cs="Arial"/>
          <w:iCs/>
          <w:szCs w:val="22"/>
        </w:rPr>
        <w:t>Umwege</w:t>
      </w:r>
      <w:r>
        <w:rPr>
          <w:rFonts w:cs="Arial"/>
          <w:iCs/>
          <w:szCs w:val="22"/>
        </w:rPr>
        <w:t>“</w:t>
      </w:r>
      <w:r w:rsidR="00120015" w:rsidRPr="00120015">
        <w:rPr>
          <w:rFonts w:cs="Arial"/>
          <w:iCs/>
          <w:szCs w:val="22"/>
        </w:rPr>
        <w:t xml:space="preserve"> über öffentliche Flächen die Wirtschaftlichkeit </w:t>
      </w:r>
      <w:r>
        <w:rPr>
          <w:rFonts w:cs="Arial"/>
          <w:iCs/>
          <w:szCs w:val="22"/>
        </w:rPr>
        <w:t>eines</w:t>
      </w:r>
      <w:r w:rsidRPr="00120015">
        <w:rPr>
          <w:rFonts w:cs="Arial"/>
          <w:iCs/>
          <w:szCs w:val="22"/>
        </w:rPr>
        <w:t xml:space="preserve"> </w:t>
      </w:r>
      <w:r w:rsidR="00120015" w:rsidRPr="00120015">
        <w:rPr>
          <w:rFonts w:cs="Arial"/>
          <w:iCs/>
          <w:szCs w:val="22"/>
        </w:rPr>
        <w:t xml:space="preserve">Projekts </w:t>
      </w:r>
      <w:r>
        <w:rPr>
          <w:rFonts w:cs="Arial"/>
          <w:iCs/>
          <w:szCs w:val="22"/>
        </w:rPr>
        <w:t xml:space="preserve">so </w:t>
      </w:r>
      <w:r w:rsidR="00120015" w:rsidRPr="00120015">
        <w:rPr>
          <w:rFonts w:cs="Arial"/>
          <w:iCs/>
          <w:szCs w:val="22"/>
        </w:rPr>
        <w:t>erheblich gefährden</w:t>
      </w:r>
      <w:r>
        <w:rPr>
          <w:rFonts w:cs="Arial"/>
          <w:iCs/>
          <w:szCs w:val="22"/>
        </w:rPr>
        <w:t xml:space="preserve"> würden</w:t>
      </w:r>
      <w:r w:rsidR="00120015" w:rsidRPr="00120015">
        <w:rPr>
          <w:rFonts w:cs="Arial"/>
          <w:iCs/>
          <w:szCs w:val="22"/>
        </w:rPr>
        <w:t xml:space="preserve">, könnte ein Gericht im Ausnahmefall die Nutzung privater Flächen als verhältnismäßig </w:t>
      </w:r>
      <w:r>
        <w:rPr>
          <w:rFonts w:cs="Arial"/>
          <w:iCs/>
          <w:szCs w:val="22"/>
        </w:rPr>
        <w:t>erachten</w:t>
      </w:r>
      <w:r w:rsidR="00120015" w:rsidRPr="00120015">
        <w:rPr>
          <w:rFonts w:cs="Arial"/>
          <w:iCs/>
          <w:szCs w:val="22"/>
        </w:rPr>
        <w:t xml:space="preserve">. </w:t>
      </w:r>
      <w:r w:rsidRPr="00D76EBF">
        <w:rPr>
          <w:rFonts w:cs="Arial"/>
          <w:iCs/>
          <w:szCs w:val="22"/>
        </w:rPr>
        <w:t>Voraussetzung dafür ist jedoch das Fehlen technischer Alternativen, was in der Regel nicht der Fall sein sollte.</w:t>
      </w:r>
    </w:p>
    <w:p w:rsidR="008774F1" w:rsidRDefault="008774F1" w:rsidP="00507D73">
      <w:pPr>
        <w:ind w:left="851"/>
        <w:rPr>
          <w:rFonts w:cs="Arial"/>
          <w:iCs/>
          <w:szCs w:val="22"/>
        </w:rPr>
      </w:pPr>
    </w:p>
    <w:p w:rsidR="008774F1" w:rsidRPr="008774F1" w:rsidRDefault="008774F1" w:rsidP="00507D73">
      <w:pPr>
        <w:ind w:left="851"/>
        <w:rPr>
          <w:rFonts w:cs="Arial"/>
          <w:b/>
          <w:iCs/>
          <w:szCs w:val="22"/>
        </w:rPr>
      </w:pPr>
      <w:r w:rsidRPr="008774F1">
        <w:rPr>
          <w:rFonts w:cs="Arial"/>
          <w:b/>
          <w:iCs/>
          <w:szCs w:val="22"/>
        </w:rPr>
        <w:t xml:space="preserve">Hinweis zum FAQ der Landkreisverwaltung </w:t>
      </w:r>
    </w:p>
    <w:p w:rsidR="008774F1" w:rsidRDefault="008774F1" w:rsidP="00507D73">
      <w:pPr>
        <w:ind w:left="851"/>
        <w:rPr>
          <w:rFonts w:cs="Arial"/>
          <w:iCs/>
          <w:szCs w:val="22"/>
        </w:rPr>
      </w:pPr>
    </w:p>
    <w:p w:rsidR="008774F1" w:rsidRPr="00E26B1D" w:rsidRDefault="008774F1" w:rsidP="00507D73">
      <w:pPr>
        <w:ind w:left="851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E</w:t>
      </w:r>
      <w:r w:rsidRPr="008774F1">
        <w:rPr>
          <w:rFonts w:cs="Arial"/>
          <w:iCs/>
          <w:szCs w:val="22"/>
        </w:rPr>
        <w:t xml:space="preserve">ine Zusammenstellung von </w:t>
      </w:r>
      <w:r>
        <w:rPr>
          <w:rFonts w:cs="Arial"/>
          <w:iCs/>
          <w:szCs w:val="22"/>
        </w:rPr>
        <w:t xml:space="preserve">diesen und weiterführenden </w:t>
      </w:r>
      <w:r w:rsidRPr="008774F1">
        <w:rPr>
          <w:rFonts w:cs="Arial"/>
          <w:iCs/>
          <w:szCs w:val="22"/>
        </w:rPr>
        <w:t>Informationen zu häufig gestellten Fragen rund um das Thema Windenergie und dessen Rechtsgrundlagen</w:t>
      </w:r>
      <w:r>
        <w:rPr>
          <w:rFonts w:cs="Arial"/>
          <w:iCs/>
          <w:szCs w:val="22"/>
        </w:rPr>
        <w:t xml:space="preserve"> ist außerdem auf der Website des Landratsamtes unter </w:t>
      </w:r>
      <w:hyperlink r:id="rId8" w:history="1">
        <w:r w:rsidRPr="00A05AF2">
          <w:rPr>
            <w:rStyle w:val="Hyperlink"/>
            <w:rFonts w:cs="Arial"/>
            <w:iCs/>
            <w:szCs w:val="22"/>
          </w:rPr>
          <w:t>www.landratsamt-pirna.de/windplanung.html</w:t>
        </w:r>
      </w:hyperlink>
      <w:r>
        <w:rPr>
          <w:rFonts w:cs="Arial"/>
          <w:iCs/>
          <w:szCs w:val="22"/>
        </w:rPr>
        <w:t xml:space="preserve"> zu finden. Die Antworten bieten </w:t>
      </w:r>
      <w:r w:rsidRPr="008774F1">
        <w:rPr>
          <w:rFonts w:cs="Arial"/>
          <w:iCs/>
          <w:szCs w:val="22"/>
        </w:rPr>
        <w:t xml:space="preserve">Orientierung </w:t>
      </w:r>
      <w:r>
        <w:rPr>
          <w:rFonts w:cs="Arial"/>
          <w:iCs/>
          <w:szCs w:val="22"/>
        </w:rPr>
        <w:t>um die zentralen Fragen des Themas Windplanung</w:t>
      </w:r>
      <w:r w:rsidRPr="008774F1">
        <w:rPr>
          <w:rFonts w:cs="Arial"/>
          <w:iCs/>
          <w:szCs w:val="22"/>
        </w:rPr>
        <w:t xml:space="preserve">. </w:t>
      </w:r>
    </w:p>
    <w:sectPr w:rsidR="008774F1" w:rsidRPr="00E26B1D" w:rsidSect="00B573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AE3" w:rsidRDefault="00C74AE3">
      <w:r>
        <w:separator/>
      </w:r>
    </w:p>
  </w:endnote>
  <w:endnote w:type="continuationSeparator" w:id="0">
    <w:p w:rsidR="00C74AE3" w:rsidRDefault="00C7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FA2" w:rsidRDefault="00522F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066" w:type="dxa"/>
      <w:tblInd w:w="-601" w:type="dxa"/>
      <w:tblLayout w:type="fixed"/>
      <w:tblLook w:val="01E0" w:firstRow="1" w:lastRow="1" w:firstColumn="1" w:lastColumn="1" w:noHBand="0" w:noVBand="0"/>
    </w:tblPr>
    <w:tblGrid>
      <w:gridCol w:w="12066"/>
    </w:tblGrid>
    <w:tr w:rsidR="00C81C9A" w:rsidRPr="005E1BA4" w:rsidTr="005E1BA4">
      <w:trPr>
        <w:trHeight w:hRule="exact" w:val="567"/>
      </w:trPr>
      <w:tc>
        <w:tcPr>
          <w:tcW w:w="12066" w:type="dxa"/>
          <w:shd w:val="clear" w:color="auto" w:fill="D9D9D9"/>
        </w:tcPr>
        <w:p w:rsidR="00C81C9A" w:rsidRPr="005E1BA4" w:rsidRDefault="00C81C9A" w:rsidP="00C81C9A">
          <w:pPr>
            <w:rPr>
              <w:color w:val="464646"/>
              <w:sz w:val="16"/>
              <w:szCs w:val="16"/>
            </w:rPr>
          </w:pPr>
        </w:p>
      </w:tc>
    </w:tr>
  </w:tbl>
  <w:p w:rsidR="00C81C9A" w:rsidRDefault="00C81C9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FA2" w:rsidRDefault="00522F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AE3" w:rsidRDefault="00C74AE3">
      <w:r>
        <w:separator/>
      </w:r>
    </w:p>
  </w:footnote>
  <w:footnote w:type="continuationSeparator" w:id="0">
    <w:p w:rsidR="00C74AE3" w:rsidRDefault="00C74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FA2" w:rsidRDefault="00522F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FA2" w:rsidRDefault="00522FA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FA2" w:rsidRDefault="00522F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2F0723"/>
    <w:multiLevelType w:val="hybridMultilevel"/>
    <w:tmpl w:val="36F02502"/>
    <w:lvl w:ilvl="0" w:tplc="040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14017B2"/>
    <w:multiLevelType w:val="hybridMultilevel"/>
    <w:tmpl w:val="9C8052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97C53"/>
    <w:multiLevelType w:val="multilevel"/>
    <w:tmpl w:val="9A2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515DF0"/>
    <w:multiLevelType w:val="multilevel"/>
    <w:tmpl w:val="16181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D512E2"/>
    <w:multiLevelType w:val="hybridMultilevel"/>
    <w:tmpl w:val="1744D8B4"/>
    <w:lvl w:ilvl="0" w:tplc="0407000F">
      <w:start w:val="1"/>
      <w:numFmt w:val="decimal"/>
      <w:lvlText w:val="%1.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346D0F"/>
    <w:multiLevelType w:val="hybridMultilevel"/>
    <w:tmpl w:val="A7169002"/>
    <w:lvl w:ilvl="0" w:tplc="CB40F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612362"/>
    <w:multiLevelType w:val="hybridMultilevel"/>
    <w:tmpl w:val="A4D4ED12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31A6647"/>
    <w:multiLevelType w:val="hybridMultilevel"/>
    <w:tmpl w:val="DD9078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A0410"/>
    <w:multiLevelType w:val="hybridMultilevel"/>
    <w:tmpl w:val="29F03DA2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6E1665"/>
    <w:multiLevelType w:val="hybridMultilevel"/>
    <w:tmpl w:val="C9344CC2"/>
    <w:lvl w:ilvl="0" w:tplc="93BE556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AB52A54"/>
    <w:multiLevelType w:val="hybridMultilevel"/>
    <w:tmpl w:val="0448AA8C"/>
    <w:lvl w:ilvl="0" w:tplc="0407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2B836D80"/>
    <w:multiLevelType w:val="hybridMultilevel"/>
    <w:tmpl w:val="E530F0F2"/>
    <w:lvl w:ilvl="0" w:tplc="5ED222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2EE40A85"/>
    <w:multiLevelType w:val="hybridMultilevel"/>
    <w:tmpl w:val="8AE86F22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434B6C"/>
    <w:multiLevelType w:val="hybridMultilevel"/>
    <w:tmpl w:val="AAD41D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AA7485"/>
    <w:multiLevelType w:val="multilevel"/>
    <w:tmpl w:val="A7BA0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8A23D5"/>
    <w:multiLevelType w:val="hybridMultilevel"/>
    <w:tmpl w:val="7960F900"/>
    <w:lvl w:ilvl="0" w:tplc="9E1881F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0E23"/>
    <w:multiLevelType w:val="hybridMultilevel"/>
    <w:tmpl w:val="F5AEA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40487"/>
    <w:multiLevelType w:val="hybridMultilevel"/>
    <w:tmpl w:val="D670089E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A862818"/>
    <w:multiLevelType w:val="hybridMultilevel"/>
    <w:tmpl w:val="D9089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439DE"/>
    <w:multiLevelType w:val="hybridMultilevel"/>
    <w:tmpl w:val="D130BC30"/>
    <w:lvl w:ilvl="0" w:tplc="997CB538">
      <w:numFmt w:val="bullet"/>
      <w:lvlText w:val="-"/>
      <w:lvlJc w:val="left"/>
      <w:pPr>
        <w:ind w:left="1406" w:hanging="55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53FB1548"/>
    <w:multiLevelType w:val="hybridMultilevel"/>
    <w:tmpl w:val="588661D0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5AF6E57"/>
    <w:multiLevelType w:val="hybridMultilevel"/>
    <w:tmpl w:val="EEE8F1F2"/>
    <w:lvl w:ilvl="0" w:tplc="EAB25B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73A15"/>
    <w:multiLevelType w:val="multilevel"/>
    <w:tmpl w:val="0E78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410409"/>
    <w:multiLevelType w:val="hybridMultilevel"/>
    <w:tmpl w:val="1C2ADAC2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CC81CC1"/>
    <w:multiLevelType w:val="hybridMultilevel"/>
    <w:tmpl w:val="5D7EFF60"/>
    <w:lvl w:ilvl="0" w:tplc="9DD211E2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30034B3"/>
    <w:multiLevelType w:val="hybridMultilevel"/>
    <w:tmpl w:val="F0E04032"/>
    <w:lvl w:ilvl="0" w:tplc="BF06CECC">
      <w:numFmt w:val="bullet"/>
      <w:lvlText w:val="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7ED4703"/>
    <w:multiLevelType w:val="hybridMultilevel"/>
    <w:tmpl w:val="29EC8E8C"/>
    <w:lvl w:ilvl="0" w:tplc="0D4C8B7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5356B"/>
    <w:multiLevelType w:val="hybridMultilevel"/>
    <w:tmpl w:val="86027738"/>
    <w:lvl w:ilvl="0" w:tplc="D6007A76">
      <w:numFmt w:val="bullet"/>
      <w:lvlText w:val="-"/>
      <w:lvlJc w:val="left"/>
      <w:pPr>
        <w:ind w:left="1417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93E3894"/>
    <w:multiLevelType w:val="hybridMultilevel"/>
    <w:tmpl w:val="7E283A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00D1C"/>
    <w:multiLevelType w:val="hybridMultilevel"/>
    <w:tmpl w:val="22A0CD8C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6CC809A7"/>
    <w:multiLevelType w:val="hybridMultilevel"/>
    <w:tmpl w:val="F880F7B0"/>
    <w:lvl w:ilvl="0" w:tplc="040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6E4D5170"/>
    <w:multiLevelType w:val="hybridMultilevel"/>
    <w:tmpl w:val="0B7C15F8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1E66480"/>
    <w:multiLevelType w:val="hybridMultilevel"/>
    <w:tmpl w:val="DFE4AC22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2D65AC7"/>
    <w:multiLevelType w:val="hybridMultilevel"/>
    <w:tmpl w:val="A710AA14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2E15F81"/>
    <w:multiLevelType w:val="hybridMultilevel"/>
    <w:tmpl w:val="46AA6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77B09"/>
    <w:multiLevelType w:val="hybridMultilevel"/>
    <w:tmpl w:val="90C67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B3DB8"/>
    <w:multiLevelType w:val="hybridMultilevel"/>
    <w:tmpl w:val="557C0584"/>
    <w:lvl w:ilvl="0" w:tplc="F32439AE">
      <w:start w:val="1"/>
      <w:numFmt w:val="decimal"/>
      <w:lvlText w:val="%1."/>
      <w:lvlJc w:val="left"/>
      <w:pPr>
        <w:ind w:left="1986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2706" w:hanging="360"/>
      </w:pPr>
    </w:lvl>
    <w:lvl w:ilvl="2" w:tplc="0407001B" w:tentative="1">
      <w:start w:val="1"/>
      <w:numFmt w:val="lowerRoman"/>
      <w:lvlText w:val="%3."/>
      <w:lvlJc w:val="right"/>
      <w:pPr>
        <w:ind w:left="3426" w:hanging="180"/>
      </w:pPr>
    </w:lvl>
    <w:lvl w:ilvl="3" w:tplc="0407000F" w:tentative="1">
      <w:start w:val="1"/>
      <w:numFmt w:val="decimal"/>
      <w:lvlText w:val="%4."/>
      <w:lvlJc w:val="left"/>
      <w:pPr>
        <w:ind w:left="4146" w:hanging="360"/>
      </w:pPr>
    </w:lvl>
    <w:lvl w:ilvl="4" w:tplc="04070019" w:tentative="1">
      <w:start w:val="1"/>
      <w:numFmt w:val="lowerLetter"/>
      <w:lvlText w:val="%5."/>
      <w:lvlJc w:val="left"/>
      <w:pPr>
        <w:ind w:left="4866" w:hanging="360"/>
      </w:pPr>
    </w:lvl>
    <w:lvl w:ilvl="5" w:tplc="0407001B" w:tentative="1">
      <w:start w:val="1"/>
      <w:numFmt w:val="lowerRoman"/>
      <w:lvlText w:val="%6."/>
      <w:lvlJc w:val="right"/>
      <w:pPr>
        <w:ind w:left="5586" w:hanging="180"/>
      </w:pPr>
    </w:lvl>
    <w:lvl w:ilvl="6" w:tplc="0407000F" w:tentative="1">
      <w:start w:val="1"/>
      <w:numFmt w:val="decimal"/>
      <w:lvlText w:val="%7."/>
      <w:lvlJc w:val="left"/>
      <w:pPr>
        <w:ind w:left="6306" w:hanging="360"/>
      </w:pPr>
    </w:lvl>
    <w:lvl w:ilvl="7" w:tplc="04070019" w:tentative="1">
      <w:start w:val="1"/>
      <w:numFmt w:val="lowerLetter"/>
      <w:lvlText w:val="%8."/>
      <w:lvlJc w:val="left"/>
      <w:pPr>
        <w:ind w:left="7026" w:hanging="360"/>
      </w:pPr>
    </w:lvl>
    <w:lvl w:ilvl="8" w:tplc="0407001B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38" w15:restartNumberingAfterBreak="0">
    <w:nsid w:val="79BD1435"/>
    <w:multiLevelType w:val="hybridMultilevel"/>
    <w:tmpl w:val="062AFB8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A6A0DBD"/>
    <w:multiLevelType w:val="hybridMultilevel"/>
    <w:tmpl w:val="83CA6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10EAB"/>
    <w:multiLevelType w:val="hybridMultilevel"/>
    <w:tmpl w:val="AED6DD06"/>
    <w:lvl w:ilvl="0" w:tplc="04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0"/>
  </w:num>
  <w:num w:numId="4">
    <w:abstractNumId w:val="38"/>
  </w:num>
  <w:num w:numId="5">
    <w:abstractNumId w:val="33"/>
  </w:num>
  <w:num w:numId="6">
    <w:abstractNumId w:val="21"/>
  </w:num>
  <w:num w:numId="7">
    <w:abstractNumId w:val="7"/>
  </w:num>
  <w:num w:numId="8">
    <w:abstractNumId w:val="23"/>
  </w:num>
  <w:num w:numId="9">
    <w:abstractNumId w:val="10"/>
  </w:num>
  <w:num w:numId="10">
    <w:abstractNumId w:val="37"/>
  </w:num>
  <w:num w:numId="11">
    <w:abstractNumId w:val="19"/>
  </w:num>
  <w:num w:numId="12">
    <w:abstractNumId w:val="39"/>
  </w:num>
  <w:num w:numId="13">
    <w:abstractNumId w:val="22"/>
  </w:num>
  <w:num w:numId="14">
    <w:abstractNumId w:val="12"/>
  </w:num>
  <w:num w:numId="15">
    <w:abstractNumId w:val="24"/>
  </w:num>
  <w:num w:numId="16">
    <w:abstractNumId w:val="26"/>
  </w:num>
  <w:num w:numId="17">
    <w:abstractNumId w:val="31"/>
  </w:num>
  <w:num w:numId="18">
    <w:abstractNumId w:val="25"/>
  </w:num>
  <w:num w:numId="19">
    <w:abstractNumId w:val="14"/>
  </w:num>
  <w:num w:numId="20">
    <w:abstractNumId w:val="1"/>
  </w:num>
  <w:num w:numId="21">
    <w:abstractNumId w:val="32"/>
  </w:num>
  <w:num w:numId="22">
    <w:abstractNumId w:val="11"/>
  </w:num>
  <w:num w:numId="23">
    <w:abstractNumId w:val="29"/>
  </w:num>
  <w:num w:numId="24">
    <w:abstractNumId w:val="8"/>
  </w:num>
  <w:num w:numId="25">
    <w:abstractNumId w:val="36"/>
  </w:num>
  <w:num w:numId="26">
    <w:abstractNumId w:val="2"/>
  </w:num>
  <w:num w:numId="27">
    <w:abstractNumId w:val="35"/>
  </w:num>
  <w:num w:numId="28">
    <w:abstractNumId w:val="17"/>
  </w:num>
  <w:num w:numId="29">
    <w:abstractNumId w:val="30"/>
  </w:num>
  <w:num w:numId="30">
    <w:abstractNumId w:val="27"/>
  </w:num>
  <w:num w:numId="31">
    <w:abstractNumId w:val="13"/>
  </w:num>
  <w:num w:numId="32">
    <w:abstractNumId w:val="28"/>
  </w:num>
  <w:num w:numId="33">
    <w:abstractNumId w:val="9"/>
  </w:num>
  <w:num w:numId="34">
    <w:abstractNumId w:val="40"/>
  </w:num>
  <w:num w:numId="35">
    <w:abstractNumId w:val="5"/>
  </w:num>
  <w:num w:numId="36">
    <w:abstractNumId w:val="6"/>
  </w:num>
  <w:num w:numId="37">
    <w:abstractNumId w:val="16"/>
  </w:num>
  <w:num w:numId="38">
    <w:abstractNumId w:val="3"/>
  </w:num>
  <w:num w:numId="39">
    <w:abstractNumId w:val="15"/>
  </w:num>
  <w:num w:numId="40">
    <w:abstractNumId w:val="4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A5"/>
    <w:rsid w:val="00000D0C"/>
    <w:rsid w:val="000025BE"/>
    <w:rsid w:val="00005CFC"/>
    <w:rsid w:val="000103D8"/>
    <w:rsid w:val="0001150F"/>
    <w:rsid w:val="0001258C"/>
    <w:rsid w:val="00013DD7"/>
    <w:rsid w:val="0001511F"/>
    <w:rsid w:val="0001649C"/>
    <w:rsid w:val="00016E4A"/>
    <w:rsid w:val="00021871"/>
    <w:rsid w:val="000230F5"/>
    <w:rsid w:val="000232A3"/>
    <w:rsid w:val="00024E78"/>
    <w:rsid w:val="00025764"/>
    <w:rsid w:val="00025B9D"/>
    <w:rsid w:val="0002684F"/>
    <w:rsid w:val="00026DF2"/>
    <w:rsid w:val="000271F2"/>
    <w:rsid w:val="00034F07"/>
    <w:rsid w:val="00035919"/>
    <w:rsid w:val="0004050E"/>
    <w:rsid w:val="00041F1D"/>
    <w:rsid w:val="00042A08"/>
    <w:rsid w:val="0004377A"/>
    <w:rsid w:val="000519E8"/>
    <w:rsid w:val="00053D92"/>
    <w:rsid w:val="0005747F"/>
    <w:rsid w:val="00057646"/>
    <w:rsid w:val="00063E84"/>
    <w:rsid w:val="000647CF"/>
    <w:rsid w:val="00070F73"/>
    <w:rsid w:val="000718F3"/>
    <w:rsid w:val="0007278F"/>
    <w:rsid w:val="00074A2D"/>
    <w:rsid w:val="00077A69"/>
    <w:rsid w:val="00082C74"/>
    <w:rsid w:val="00084A3D"/>
    <w:rsid w:val="0008732A"/>
    <w:rsid w:val="00091077"/>
    <w:rsid w:val="00091200"/>
    <w:rsid w:val="00093375"/>
    <w:rsid w:val="00093FB3"/>
    <w:rsid w:val="00094BBD"/>
    <w:rsid w:val="000953FE"/>
    <w:rsid w:val="0009616E"/>
    <w:rsid w:val="00096CAF"/>
    <w:rsid w:val="000A3EEC"/>
    <w:rsid w:val="000A52AF"/>
    <w:rsid w:val="000A5A27"/>
    <w:rsid w:val="000B0114"/>
    <w:rsid w:val="000C72C2"/>
    <w:rsid w:val="000D1B47"/>
    <w:rsid w:val="000D3C48"/>
    <w:rsid w:val="000D41B9"/>
    <w:rsid w:val="000E0E61"/>
    <w:rsid w:val="000E1592"/>
    <w:rsid w:val="000E1928"/>
    <w:rsid w:val="000E28A4"/>
    <w:rsid w:val="000E3A80"/>
    <w:rsid w:val="000E4D17"/>
    <w:rsid w:val="000E59D4"/>
    <w:rsid w:val="000E5D15"/>
    <w:rsid w:val="000E6545"/>
    <w:rsid w:val="000F20D5"/>
    <w:rsid w:val="000F31F3"/>
    <w:rsid w:val="000F4E1D"/>
    <w:rsid w:val="00101D9E"/>
    <w:rsid w:val="00103426"/>
    <w:rsid w:val="0010554F"/>
    <w:rsid w:val="00105ECC"/>
    <w:rsid w:val="0010637B"/>
    <w:rsid w:val="00110381"/>
    <w:rsid w:val="00113B17"/>
    <w:rsid w:val="00120015"/>
    <w:rsid w:val="001207E9"/>
    <w:rsid w:val="0012094E"/>
    <w:rsid w:val="00125340"/>
    <w:rsid w:val="001268A0"/>
    <w:rsid w:val="001328BF"/>
    <w:rsid w:val="001366DC"/>
    <w:rsid w:val="0014240F"/>
    <w:rsid w:val="00143034"/>
    <w:rsid w:val="0014387A"/>
    <w:rsid w:val="001534C0"/>
    <w:rsid w:val="00155BBF"/>
    <w:rsid w:val="001625AC"/>
    <w:rsid w:val="00164635"/>
    <w:rsid w:val="0016571D"/>
    <w:rsid w:val="001743FD"/>
    <w:rsid w:val="001771CB"/>
    <w:rsid w:val="00177C64"/>
    <w:rsid w:val="0018451D"/>
    <w:rsid w:val="00184A5F"/>
    <w:rsid w:val="001918AB"/>
    <w:rsid w:val="00192299"/>
    <w:rsid w:val="00194562"/>
    <w:rsid w:val="001A4EF7"/>
    <w:rsid w:val="001B020F"/>
    <w:rsid w:val="001B1B99"/>
    <w:rsid w:val="001B248B"/>
    <w:rsid w:val="001B7929"/>
    <w:rsid w:val="001C069D"/>
    <w:rsid w:val="001C4230"/>
    <w:rsid w:val="001C6B97"/>
    <w:rsid w:val="001D0C07"/>
    <w:rsid w:val="001D12F6"/>
    <w:rsid w:val="001D2601"/>
    <w:rsid w:val="001D3CAD"/>
    <w:rsid w:val="001D69F5"/>
    <w:rsid w:val="001D73F4"/>
    <w:rsid w:val="001E1BFB"/>
    <w:rsid w:val="001E61E9"/>
    <w:rsid w:val="001E7462"/>
    <w:rsid w:val="001E79BC"/>
    <w:rsid w:val="001E79BF"/>
    <w:rsid w:val="001F16AE"/>
    <w:rsid w:val="001F245B"/>
    <w:rsid w:val="001F6ABA"/>
    <w:rsid w:val="00200528"/>
    <w:rsid w:val="0020612C"/>
    <w:rsid w:val="002068D3"/>
    <w:rsid w:val="0021067B"/>
    <w:rsid w:val="002115EF"/>
    <w:rsid w:val="00213791"/>
    <w:rsid w:val="002143FD"/>
    <w:rsid w:val="0021606B"/>
    <w:rsid w:val="0022121F"/>
    <w:rsid w:val="002216E0"/>
    <w:rsid w:val="00226576"/>
    <w:rsid w:val="00233607"/>
    <w:rsid w:val="00240031"/>
    <w:rsid w:val="00240FF1"/>
    <w:rsid w:val="0024138B"/>
    <w:rsid w:val="00251898"/>
    <w:rsid w:val="00255B20"/>
    <w:rsid w:val="002601E1"/>
    <w:rsid w:val="00261092"/>
    <w:rsid w:val="00261487"/>
    <w:rsid w:val="002614AD"/>
    <w:rsid w:val="002620FC"/>
    <w:rsid w:val="00263DFF"/>
    <w:rsid w:val="0026509C"/>
    <w:rsid w:val="002677E4"/>
    <w:rsid w:val="00270306"/>
    <w:rsid w:val="002707AF"/>
    <w:rsid w:val="00272A81"/>
    <w:rsid w:val="002731E9"/>
    <w:rsid w:val="0027365D"/>
    <w:rsid w:val="00277951"/>
    <w:rsid w:val="002809B1"/>
    <w:rsid w:val="00281F6C"/>
    <w:rsid w:val="00282492"/>
    <w:rsid w:val="002825FF"/>
    <w:rsid w:val="00285656"/>
    <w:rsid w:val="00290C27"/>
    <w:rsid w:val="00293A59"/>
    <w:rsid w:val="002A0A2D"/>
    <w:rsid w:val="002A2DC3"/>
    <w:rsid w:val="002A562A"/>
    <w:rsid w:val="002B064D"/>
    <w:rsid w:val="002B0DB0"/>
    <w:rsid w:val="002B1CF4"/>
    <w:rsid w:val="002B2539"/>
    <w:rsid w:val="002B6A54"/>
    <w:rsid w:val="002C0C08"/>
    <w:rsid w:val="002C7D27"/>
    <w:rsid w:val="002D5643"/>
    <w:rsid w:val="002D77CD"/>
    <w:rsid w:val="002E1CC2"/>
    <w:rsid w:val="002E2837"/>
    <w:rsid w:val="002F1269"/>
    <w:rsid w:val="002F23EC"/>
    <w:rsid w:val="002F612A"/>
    <w:rsid w:val="00300427"/>
    <w:rsid w:val="003006F4"/>
    <w:rsid w:val="00302112"/>
    <w:rsid w:val="00306CDE"/>
    <w:rsid w:val="00312A0E"/>
    <w:rsid w:val="00314B7B"/>
    <w:rsid w:val="00317C3C"/>
    <w:rsid w:val="00320328"/>
    <w:rsid w:val="003207B2"/>
    <w:rsid w:val="00330CE3"/>
    <w:rsid w:val="00331B90"/>
    <w:rsid w:val="0034539E"/>
    <w:rsid w:val="00346F0F"/>
    <w:rsid w:val="003545D8"/>
    <w:rsid w:val="0035766E"/>
    <w:rsid w:val="00364956"/>
    <w:rsid w:val="00364F9D"/>
    <w:rsid w:val="003666BE"/>
    <w:rsid w:val="00370D60"/>
    <w:rsid w:val="00372CC1"/>
    <w:rsid w:val="00372F1C"/>
    <w:rsid w:val="0037361B"/>
    <w:rsid w:val="00374185"/>
    <w:rsid w:val="003770BD"/>
    <w:rsid w:val="003824E0"/>
    <w:rsid w:val="00383C40"/>
    <w:rsid w:val="00391DA5"/>
    <w:rsid w:val="003923FF"/>
    <w:rsid w:val="0039598F"/>
    <w:rsid w:val="003A03DF"/>
    <w:rsid w:val="003A4258"/>
    <w:rsid w:val="003A5E1C"/>
    <w:rsid w:val="003B0FAE"/>
    <w:rsid w:val="003B276D"/>
    <w:rsid w:val="003B354C"/>
    <w:rsid w:val="003B36D2"/>
    <w:rsid w:val="003B4657"/>
    <w:rsid w:val="003B58C6"/>
    <w:rsid w:val="003B6A4D"/>
    <w:rsid w:val="003B6F58"/>
    <w:rsid w:val="003C4DB9"/>
    <w:rsid w:val="003C5831"/>
    <w:rsid w:val="003C70CE"/>
    <w:rsid w:val="003D0FCF"/>
    <w:rsid w:val="003D1C98"/>
    <w:rsid w:val="003D2555"/>
    <w:rsid w:val="003D349A"/>
    <w:rsid w:val="003D3F1E"/>
    <w:rsid w:val="003D7BAE"/>
    <w:rsid w:val="003E16B2"/>
    <w:rsid w:val="003E1F27"/>
    <w:rsid w:val="003E6429"/>
    <w:rsid w:val="003F019D"/>
    <w:rsid w:val="003F15A8"/>
    <w:rsid w:val="003F1795"/>
    <w:rsid w:val="003F2B60"/>
    <w:rsid w:val="003F395F"/>
    <w:rsid w:val="003F3FD5"/>
    <w:rsid w:val="003F54B9"/>
    <w:rsid w:val="003F76F6"/>
    <w:rsid w:val="00406ED6"/>
    <w:rsid w:val="00413663"/>
    <w:rsid w:val="00421943"/>
    <w:rsid w:val="00425401"/>
    <w:rsid w:val="00426278"/>
    <w:rsid w:val="00431D3B"/>
    <w:rsid w:val="00432504"/>
    <w:rsid w:val="00434450"/>
    <w:rsid w:val="004376B5"/>
    <w:rsid w:val="004405AF"/>
    <w:rsid w:val="00442DE3"/>
    <w:rsid w:val="004440BF"/>
    <w:rsid w:val="00452047"/>
    <w:rsid w:val="004547CC"/>
    <w:rsid w:val="0045590D"/>
    <w:rsid w:val="00461C74"/>
    <w:rsid w:val="004632FE"/>
    <w:rsid w:val="00465B0E"/>
    <w:rsid w:val="00467FE4"/>
    <w:rsid w:val="00470C9A"/>
    <w:rsid w:val="0047729A"/>
    <w:rsid w:val="00477B65"/>
    <w:rsid w:val="00482B1E"/>
    <w:rsid w:val="004925FD"/>
    <w:rsid w:val="00496C85"/>
    <w:rsid w:val="004A0A50"/>
    <w:rsid w:val="004A3A4B"/>
    <w:rsid w:val="004A3B90"/>
    <w:rsid w:val="004A70E9"/>
    <w:rsid w:val="004B1870"/>
    <w:rsid w:val="004B4D7B"/>
    <w:rsid w:val="004B6D92"/>
    <w:rsid w:val="004B7316"/>
    <w:rsid w:val="004C2BE4"/>
    <w:rsid w:val="004C54A5"/>
    <w:rsid w:val="004D020B"/>
    <w:rsid w:val="004D0CC8"/>
    <w:rsid w:val="004D31F5"/>
    <w:rsid w:val="004D34CB"/>
    <w:rsid w:val="004D469B"/>
    <w:rsid w:val="004D4C7A"/>
    <w:rsid w:val="004D671E"/>
    <w:rsid w:val="004E1941"/>
    <w:rsid w:val="004E31AC"/>
    <w:rsid w:val="004F006B"/>
    <w:rsid w:val="004F0BB1"/>
    <w:rsid w:val="004F120F"/>
    <w:rsid w:val="004F3951"/>
    <w:rsid w:val="004F7EF8"/>
    <w:rsid w:val="00504037"/>
    <w:rsid w:val="00505FAF"/>
    <w:rsid w:val="00507177"/>
    <w:rsid w:val="00507C2C"/>
    <w:rsid w:val="00507D73"/>
    <w:rsid w:val="005100A9"/>
    <w:rsid w:val="005102B6"/>
    <w:rsid w:val="00510845"/>
    <w:rsid w:val="00512EAA"/>
    <w:rsid w:val="00513ACD"/>
    <w:rsid w:val="0051438D"/>
    <w:rsid w:val="005156F6"/>
    <w:rsid w:val="00522FA2"/>
    <w:rsid w:val="00524B71"/>
    <w:rsid w:val="00525DD0"/>
    <w:rsid w:val="00526071"/>
    <w:rsid w:val="00526DF8"/>
    <w:rsid w:val="00527C37"/>
    <w:rsid w:val="00532FF8"/>
    <w:rsid w:val="0053391F"/>
    <w:rsid w:val="0053419A"/>
    <w:rsid w:val="005346AD"/>
    <w:rsid w:val="00536B4A"/>
    <w:rsid w:val="00542243"/>
    <w:rsid w:val="005422A5"/>
    <w:rsid w:val="005431A2"/>
    <w:rsid w:val="005503F6"/>
    <w:rsid w:val="005566D3"/>
    <w:rsid w:val="00556F4B"/>
    <w:rsid w:val="0056002A"/>
    <w:rsid w:val="00560F70"/>
    <w:rsid w:val="005645C2"/>
    <w:rsid w:val="00564F60"/>
    <w:rsid w:val="00565BFC"/>
    <w:rsid w:val="00566DC9"/>
    <w:rsid w:val="00567650"/>
    <w:rsid w:val="00570354"/>
    <w:rsid w:val="00570E4D"/>
    <w:rsid w:val="00570E66"/>
    <w:rsid w:val="00573589"/>
    <w:rsid w:val="00580526"/>
    <w:rsid w:val="00581160"/>
    <w:rsid w:val="00582176"/>
    <w:rsid w:val="00592F4B"/>
    <w:rsid w:val="005936AB"/>
    <w:rsid w:val="005978FE"/>
    <w:rsid w:val="005A0603"/>
    <w:rsid w:val="005A378D"/>
    <w:rsid w:val="005A5E17"/>
    <w:rsid w:val="005B0164"/>
    <w:rsid w:val="005B3F07"/>
    <w:rsid w:val="005B6BD2"/>
    <w:rsid w:val="005B799A"/>
    <w:rsid w:val="005C52D7"/>
    <w:rsid w:val="005C62DE"/>
    <w:rsid w:val="005C693D"/>
    <w:rsid w:val="005C6A95"/>
    <w:rsid w:val="005D1B7C"/>
    <w:rsid w:val="005D6635"/>
    <w:rsid w:val="005E0E61"/>
    <w:rsid w:val="005E1BA4"/>
    <w:rsid w:val="005E467B"/>
    <w:rsid w:val="005E5B61"/>
    <w:rsid w:val="005E6F4A"/>
    <w:rsid w:val="005F2326"/>
    <w:rsid w:val="005F2B2D"/>
    <w:rsid w:val="005F337A"/>
    <w:rsid w:val="0061109F"/>
    <w:rsid w:val="006129EE"/>
    <w:rsid w:val="006142F7"/>
    <w:rsid w:val="00615D58"/>
    <w:rsid w:val="0061709A"/>
    <w:rsid w:val="00620F3A"/>
    <w:rsid w:val="00634DB6"/>
    <w:rsid w:val="00640814"/>
    <w:rsid w:val="00641089"/>
    <w:rsid w:val="0064573D"/>
    <w:rsid w:val="00646075"/>
    <w:rsid w:val="00647D65"/>
    <w:rsid w:val="00650E1A"/>
    <w:rsid w:val="00652F3C"/>
    <w:rsid w:val="00656600"/>
    <w:rsid w:val="006603E7"/>
    <w:rsid w:val="006633A6"/>
    <w:rsid w:val="00666EBA"/>
    <w:rsid w:val="00676BE8"/>
    <w:rsid w:val="006770E0"/>
    <w:rsid w:val="0067716D"/>
    <w:rsid w:val="0067769C"/>
    <w:rsid w:val="00681810"/>
    <w:rsid w:val="00684578"/>
    <w:rsid w:val="00690536"/>
    <w:rsid w:val="00691BAE"/>
    <w:rsid w:val="0069217A"/>
    <w:rsid w:val="00696FB1"/>
    <w:rsid w:val="006A26B9"/>
    <w:rsid w:val="006A30D3"/>
    <w:rsid w:val="006A3302"/>
    <w:rsid w:val="006A3CE5"/>
    <w:rsid w:val="006A567F"/>
    <w:rsid w:val="006B3EC0"/>
    <w:rsid w:val="006C5CA7"/>
    <w:rsid w:val="006D2C32"/>
    <w:rsid w:val="006D3BD5"/>
    <w:rsid w:val="006D6642"/>
    <w:rsid w:val="006E04AA"/>
    <w:rsid w:val="006E3C61"/>
    <w:rsid w:val="006E3F37"/>
    <w:rsid w:val="006E40C3"/>
    <w:rsid w:val="006E6370"/>
    <w:rsid w:val="006E7C39"/>
    <w:rsid w:val="006E7E70"/>
    <w:rsid w:val="006F0589"/>
    <w:rsid w:val="006F06CD"/>
    <w:rsid w:val="006F169B"/>
    <w:rsid w:val="006F399E"/>
    <w:rsid w:val="006F46EF"/>
    <w:rsid w:val="006F6732"/>
    <w:rsid w:val="00706CB9"/>
    <w:rsid w:val="00707B1C"/>
    <w:rsid w:val="00712502"/>
    <w:rsid w:val="00712C57"/>
    <w:rsid w:val="00712D5A"/>
    <w:rsid w:val="007144C8"/>
    <w:rsid w:val="007164F9"/>
    <w:rsid w:val="00717A8C"/>
    <w:rsid w:val="00721009"/>
    <w:rsid w:val="00723049"/>
    <w:rsid w:val="00730465"/>
    <w:rsid w:val="00734393"/>
    <w:rsid w:val="00734519"/>
    <w:rsid w:val="00740B52"/>
    <w:rsid w:val="00742838"/>
    <w:rsid w:val="007433B4"/>
    <w:rsid w:val="0074410C"/>
    <w:rsid w:val="007451DF"/>
    <w:rsid w:val="00750363"/>
    <w:rsid w:val="00753595"/>
    <w:rsid w:val="00756F48"/>
    <w:rsid w:val="00760157"/>
    <w:rsid w:val="00767D10"/>
    <w:rsid w:val="007725AD"/>
    <w:rsid w:val="00772915"/>
    <w:rsid w:val="00772DB1"/>
    <w:rsid w:val="007749BA"/>
    <w:rsid w:val="0078099B"/>
    <w:rsid w:val="00784533"/>
    <w:rsid w:val="00786E29"/>
    <w:rsid w:val="007872D3"/>
    <w:rsid w:val="00792B84"/>
    <w:rsid w:val="00793523"/>
    <w:rsid w:val="007948E3"/>
    <w:rsid w:val="00795A2C"/>
    <w:rsid w:val="007A103D"/>
    <w:rsid w:val="007A2E18"/>
    <w:rsid w:val="007A48F0"/>
    <w:rsid w:val="007B37F8"/>
    <w:rsid w:val="007B5ADB"/>
    <w:rsid w:val="007B77C1"/>
    <w:rsid w:val="007C10A2"/>
    <w:rsid w:val="007C188B"/>
    <w:rsid w:val="007D491D"/>
    <w:rsid w:val="007E26FE"/>
    <w:rsid w:val="007E4F33"/>
    <w:rsid w:val="007E6F4D"/>
    <w:rsid w:val="007F3B62"/>
    <w:rsid w:val="007F4916"/>
    <w:rsid w:val="007F4D4E"/>
    <w:rsid w:val="007F4FC3"/>
    <w:rsid w:val="007F5E7A"/>
    <w:rsid w:val="00804DC1"/>
    <w:rsid w:val="00806EA5"/>
    <w:rsid w:val="00810DAF"/>
    <w:rsid w:val="00811AA6"/>
    <w:rsid w:val="00812383"/>
    <w:rsid w:val="00814CE2"/>
    <w:rsid w:val="00816324"/>
    <w:rsid w:val="0082040D"/>
    <w:rsid w:val="0082586F"/>
    <w:rsid w:val="00826406"/>
    <w:rsid w:val="00832388"/>
    <w:rsid w:val="00834BA8"/>
    <w:rsid w:val="008378E5"/>
    <w:rsid w:val="00840938"/>
    <w:rsid w:val="00841439"/>
    <w:rsid w:val="0084378A"/>
    <w:rsid w:val="00860708"/>
    <w:rsid w:val="00862B5B"/>
    <w:rsid w:val="00865073"/>
    <w:rsid w:val="00867A3C"/>
    <w:rsid w:val="0087088E"/>
    <w:rsid w:val="00876F80"/>
    <w:rsid w:val="008774F1"/>
    <w:rsid w:val="00880A46"/>
    <w:rsid w:val="00882E78"/>
    <w:rsid w:val="00883B24"/>
    <w:rsid w:val="00884190"/>
    <w:rsid w:val="008860D3"/>
    <w:rsid w:val="00891FD0"/>
    <w:rsid w:val="008979C8"/>
    <w:rsid w:val="008A4423"/>
    <w:rsid w:val="008B3336"/>
    <w:rsid w:val="008B4423"/>
    <w:rsid w:val="008C3AB7"/>
    <w:rsid w:val="008C44FF"/>
    <w:rsid w:val="008C4A52"/>
    <w:rsid w:val="008D0B2C"/>
    <w:rsid w:val="008D250E"/>
    <w:rsid w:val="008D7BD1"/>
    <w:rsid w:val="008E39B5"/>
    <w:rsid w:val="008E5E39"/>
    <w:rsid w:val="008F2D33"/>
    <w:rsid w:val="008F4D4E"/>
    <w:rsid w:val="008F755D"/>
    <w:rsid w:val="00912955"/>
    <w:rsid w:val="0091334F"/>
    <w:rsid w:val="00914C6B"/>
    <w:rsid w:val="00916D6B"/>
    <w:rsid w:val="009170F6"/>
    <w:rsid w:val="0091744E"/>
    <w:rsid w:val="009238A1"/>
    <w:rsid w:val="0092516F"/>
    <w:rsid w:val="00927020"/>
    <w:rsid w:val="009316D8"/>
    <w:rsid w:val="0093183D"/>
    <w:rsid w:val="00934061"/>
    <w:rsid w:val="00941ED7"/>
    <w:rsid w:val="00942A22"/>
    <w:rsid w:val="009509C4"/>
    <w:rsid w:val="00954D7A"/>
    <w:rsid w:val="0095586B"/>
    <w:rsid w:val="00965B70"/>
    <w:rsid w:val="00970E2B"/>
    <w:rsid w:val="00972F3A"/>
    <w:rsid w:val="00977E25"/>
    <w:rsid w:val="009800FE"/>
    <w:rsid w:val="00984EEE"/>
    <w:rsid w:val="009853C6"/>
    <w:rsid w:val="009855CC"/>
    <w:rsid w:val="00986961"/>
    <w:rsid w:val="009872F0"/>
    <w:rsid w:val="00994DEE"/>
    <w:rsid w:val="009A3944"/>
    <w:rsid w:val="009A3A8C"/>
    <w:rsid w:val="009A5287"/>
    <w:rsid w:val="009A6AD3"/>
    <w:rsid w:val="009A6DD0"/>
    <w:rsid w:val="009B0352"/>
    <w:rsid w:val="009B5CD1"/>
    <w:rsid w:val="009B60DF"/>
    <w:rsid w:val="009C0493"/>
    <w:rsid w:val="009C0DC0"/>
    <w:rsid w:val="009D0E88"/>
    <w:rsid w:val="009D1056"/>
    <w:rsid w:val="009D22BF"/>
    <w:rsid w:val="009D683C"/>
    <w:rsid w:val="009E33F7"/>
    <w:rsid w:val="009E40D8"/>
    <w:rsid w:val="009E5522"/>
    <w:rsid w:val="009E70C9"/>
    <w:rsid w:val="009F2161"/>
    <w:rsid w:val="009F33B2"/>
    <w:rsid w:val="009F71D8"/>
    <w:rsid w:val="00A112DE"/>
    <w:rsid w:val="00A14692"/>
    <w:rsid w:val="00A16D76"/>
    <w:rsid w:val="00A16FC9"/>
    <w:rsid w:val="00A2090A"/>
    <w:rsid w:val="00A22159"/>
    <w:rsid w:val="00A2494F"/>
    <w:rsid w:val="00A26C7B"/>
    <w:rsid w:val="00A26DA4"/>
    <w:rsid w:val="00A27004"/>
    <w:rsid w:val="00A312B6"/>
    <w:rsid w:val="00A3501C"/>
    <w:rsid w:val="00A41F82"/>
    <w:rsid w:val="00A46DC5"/>
    <w:rsid w:val="00A51277"/>
    <w:rsid w:val="00A52C0D"/>
    <w:rsid w:val="00A550AD"/>
    <w:rsid w:val="00A55701"/>
    <w:rsid w:val="00A56D5E"/>
    <w:rsid w:val="00A57FDA"/>
    <w:rsid w:val="00A64411"/>
    <w:rsid w:val="00A6478D"/>
    <w:rsid w:val="00A659CC"/>
    <w:rsid w:val="00A67673"/>
    <w:rsid w:val="00A67787"/>
    <w:rsid w:val="00A707F0"/>
    <w:rsid w:val="00A75C7F"/>
    <w:rsid w:val="00A80C4F"/>
    <w:rsid w:val="00A83595"/>
    <w:rsid w:val="00AA0AE2"/>
    <w:rsid w:val="00AA1E78"/>
    <w:rsid w:val="00AA433D"/>
    <w:rsid w:val="00AA43A3"/>
    <w:rsid w:val="00AA4C48"/>
    <w:rsid w:val="00AA4E56"/>
    <w:rsid w:val="00AA6FDA"/>
    <w:rsid w:val="00AA744F"/>
    <w:rsid w:val="00AA7651"/>
    <w:rsid w:val="00AA79B0"/>
    <w:rsid w:val="00AB2B34"/>
    <w:rsid w:val="00AC0C96"/>
    <w:rsid w:val="00AD02DA"/>
    <w:rsid w:val="00AD2DFE"/>
    <w:rsid w:val="00AD3EEE"/>
    <w:rsid w:val="00AD4102"/>
    <w:rsid w:val="00AD4396"/>
    <w:rsid w:val="00AD43A4"/>
    <w:rsid w:val="00AD5178"/>
    <w:rsid w:val="00AD7DE3"/>
    <w:rsid w:val="00AE76F1"/>
    <w:rsid w:val="00AF1F5B"/>
    <w:rsid w:val="00AF3DDE"/>
    <w:rsid w:val="00AF60AC"/>
    <w:rsid w:val="00AF707D"/>
    <w:rsid w:val="00B05254"/>
    <w:rsid w:val="00B0579B"/>
    <w:rsid w:val="00B108AC"/>
    <w:rsid w:val="00B123C9"/>
    <w:rsid w:val="00B1305E"/>
    <w:rsid w:val="00B207E7"/>
    <w:rsid w:val="00B20A89"/>
    <w:rsid w:val="00B2374A"/>
    <w:rsid w:val="00B2421E"/>
    <w:rsid w:val="00B269F0"/>
    <w:rsid w:val="00B33335"/>
    <w:rsid w:val="00B43249"/>
    <w:rsid w:val="00B45965"/>
    <w:rsid w:val="00B46032"/>
    <w:rsid w:val="00B46505"/>
    <w:rsid w:val="00B46BCB"/>
    <w:rsid w:val="00B563EF"/>
    <w:rsid w:val="00B5673F"/>
    <w:rsid w:val="00B57381"/>
    <w:rsid w:val="00B65781"/>
    <w:rsid w:val="00B70F26"/>
    <w:rsid w:val="00B77BD4"/>
    <w:rsid w:val="00B80879"/>
    <w:rsid w:val="00B82A1D"/>
    <w:rsid w:val="00B8478A"/>
    <w:rsid w:val="00B8541F"/>
    <w:rsid w:val="00B86242"/>
    <w:rsid w:val="00B86974"/>
    <w:rsid w:val="00B87875"/>
    <w:rsid w:val="00B92B37"/>
    <w:rsid w:val="00BA364C"/>
    <w:rsid w:val="00BA66BF"/>
    <w:rsid w:val="00BA6991"/>
    <w:rsid w:val="00BB221A"/>
    <w:rsid w:val="00BB26C7"/>
    <w:rsid w:val="00BB2F21"/>
    <w:rsid w:val="00BB58AC"/>
    <w:rsid w:val="00BC10CD"/>
    <w:rsid w:val="00BD1B15"/>
    <w:rsid w:val="00BE0E98"/>
    <w:rsid w:val="00BE3073"/>
    <w:rsid w:val="00BE59E8"/>
    <w:rsid w:val="00BE63C6"/>
    <w:rsid w:val="00BE74E6"/>
    <w:rsid w:val="00BF226A"/>
    <w:rsid w:val="00C013FE"/>
    <w:rsid w:val="00C042D9"/>
    <w:rsid w:val="00C04E4B"/>
    <w:rsid w:val="00C0594C"/>
    <w:rsid w:val="00C1625D"/>
    <w:rsid w:val="00C20E86"/>
    <w:rsid w:val="00C26C23"/>
    <w:rsid w:val="00C30B3D"/>
    <w:rsid w:val="00C432AA"/>
    <w:rsid w:val="00C45189"/>
    <w:rsid w:val="00C469E4"/>
    <w:rsid w:val="00C53183"/>
    <w:rsid w:val="00C53DE0"/>
    <w:rsid w:val="00C56CF6"/>
    <w:rsid w:val="00C57068"/>
    <w:rsid w:val="00C5794A"/>
    <w:rsid w:val="00C60561"/>
    <w:rsid w:val="00C617A9"/>
    <w:rsid w:val="00C663DE"/>
    <w:rsid w:val="00C74AE3"/>
    <w:rsid w:val="00C81C9A"/>
    <w:rsid w:val="00C85B58"/>
    <w:rsid w:val="00C85BA9"/>
    <w:rsid w:val="00C958A1"/>
    <w:rsid w:val="00C974F0"/>
    <w:rsid w:val="00CA03DC"/>
    <w:rsid w:val="00CA3CBA"/>
    <w:rsid w:val="00CA4CC5"/>
    <w:rsid w:val="00CA507A"/>
    <w:rsid w:val="00CB3E62"/>
    <w:rsid w:val="00CB40BD"/>
    <w:rsid w:val="00CB58CD"/>
    <w:rsid w:val="00CC1524"/>
    <w:rsid w:val="00CC4EE7"/>
    <w:rsid w:val="00CD3AAF"/>
    <w:rsid w:val="00CD3DC4"/>
    <w:rsid w:val="00CD5607"/>
    <w:rsid w:val="00CD6A92"/>
    <w:rsid w:val="00CE1D2D"/>
    <w:rsid w:val="00CE1E67"/>
    <w:rsid w:val="00CE2174"/>
    <w:rsid w:val="00CE7ABC"/>
    <w:rsid w:val="00D02036"/>
    <w:rsid w:val="00D03AFF"/>
    <w:rsid w:val="00D0532F"/>
    <w:rsid w:val="00D10DBF"/>
    <w:rsid w:val="00D11DE3"/>
    <w:rsid w:val="00D1357C"/>
    <w:rsid w:val="00D15D17"/>
    <w:rsid w:val="00D16A66"/>
    <w:rsid w:val="00D16F1F"/>
    <w:rsid w:val="00D1736B"/>
    <w:rsid w:val="00D20B3F"/>
    <w:rsid w:val="00D238F4"/>
    <w:rsid w:val="00D2464B"/>
    <w:rsid w:val="00D31E94"/>
    <w:rsid w:val="00D343B6"/>
    <w:rsid w:val="00D35BF9"/>
    <w:rsid w:val="00D35F05"/>
    <w:rsid w:val="00D373C6"/>
    <w:rsid w:val="00D37705"/>
    <w:rsid w:val="00D41E2F"/>
    <w:rsid w:val="00D42422"/>
    <w:rsid w:val="00D4317F"/>
    <w:rsid w:val="00D45974"/>
    <w:rsid w:val="00D526A6"/>
    <w:rsid w:val="00D546F8"/>
    <w:rsid w:val="00D55CEA"/>
    <w:rsid w:val="00D717F4"/>
    <w:rsid w:val="00D76DAF"/>
    <w:rsid w:val="00D76EBF"/>
    <w:rsid w:val="00D80730"/>
    <w:rsid w:val="00D8180B"/>
    <w:rsid w:val="00D90104"/>
    <w:rsid w:val="00D93ADE"/>
    <w:rsid w:val="00D96CBF"/>
    <w:rsid w:val="00DA1068"/>
    <w:rsid w:val="00DA10D5"/>
    <w:rsid w:val="00DA661C"/>
    <w:rsid w:val="00DB3194"/>
    <w:rsid w:val="00DB5179"/>
    <w:rsid w:val="00DC06A2"/>
    <w:rsid w:val="00DC4C4B"/>
    <w:rsid w:val="00DC4DD6"/>
    <w:rsid w:val="00DC62B9"/>
    <w:rsid w:val="00DE4269"/>
    <w:rsid w:val="00DE440D"/>
    <w:rsid w:val="00DE6B36"/>
    <w:rsid w:val="00DE7073"/>
    <w:rsid w:val="00DE7EBA"/>
    <w:rsid w:val="00DF111F"/>
    <w:rsid w:val="00DF1367"/>
    <w:rsid w:val="00DF2726"/>
    <w:rsid w:val="00DF3E70"/>
    <w:rsid w:val="00E00C27"/>
    <w:rsid w:val="00E044A4"/>
    <w:rsid w:val="00E12706"/>
    <w:rsid w:val="00E15D31"/>
    <w:rsid w:val="00E166BA"/>
    <w:rsid w:val="00E16E32"/>
    <w:rsid w:val="00E207F2"/>
    <w:rsid w:val="00E266EF"/>
    <w:rsid w:val="00E26B1D"/>
    <w:rsid w:val="00E32F1B"/>
    <w:rsid w:val="00E33F7C"/>
    <w:rsid w:val="00E345DB"/>
    <w:rsid w:val="00E42241"/>
    <w:rsid w:val="00E5703C"/>
    <w:rsid w:val="00E67A75"/>
    <w:rsid w:val="00E7087D"/>
    <w:rsid w:val="00E72722"/>
    <w:rsid w:val="00E91BEC"/>
    <w:rsid w:val="00E94870"/>
    <w:rsid w:val="00E97C65"/>
    <w:rsid w:val="00EA1008"/>
    <w:rsid w:val="00EA6D0D"/>
    <w:rsid w:val="00EB021C"/>
    <w:rsid w:val="00EB3FC6"/>
    <w:rsid w:val="00EB698D"/>
    <w:rsid w:val="00EB6B99"/>
    <w:rsid w:val="00EB7BE8"/>
    <w:rsid w:val="00EC064C"/>
    <w:rsid w:val="00EC103C"/>
    <w:rsid w:val="00EC249C"/>
    <w:rsid w:val="00EC3809"/>
    <w:rsid w:val="00EC73AE"/>
    <w:rsid w:val="00ED174F"/>
    <w:rsid w:val="00ED3E6F"/>
    <w:rsid w:val="00ED7DE6"/>
    <w:rsid w:val="00EE1144"/>
    <w:rsid w:val="00EE1176"/>
    <w:rsid w:val="00EE241F"/>
    <w:rsid w:val="00F0066E"/>
    <w:rsid w:val="00F0122A"/>
    <w:rsid w:val="00F0156C"/>
    <w:rsid w:val="00F07589"/>
    <w:rsid w:val="00F11D1A"/>
    <w:rsid w:val="00F128D7"/>
    <w:rsid w:val="00F16308"/>
    <w:rsid w:val="00F20334"/>
    <w:rsid w:val="00F2039B"/>
    <w:rsid w:val="00F3589F"/>
    <w:rsid w:val="00F36728"/>
    <w:rsid w:val="00F42410"/>
    <w:rsid w:val="00F4391E"/>
    <w:rsid w:val="00F463C1"/>
    <w:rsid w:val="00F54935"/>
    <w:rsid w:val="00F5755B"/>
    <w:rsid w:val="00F61C97"/>
    <w:rsid w:val="00F62A29"/>
    <w:rsid w:val="00F62BB1"/>
    <w:rsid w:val="00F64E24"/>
    <w:rsid w:val="00F67C38"/>
    <w:rsid w:val="00F72B17"/>
    <w:rsid w:val="00F73233"/>
    <w:rsid w:val="00F7753D"/>
    <w:rsid w:val="00F80C29"/>
    <w:rsid w:val="00F87A74"/>
    <w:rsid w:val="00F91732"/>
    <w:rsid w:val="00F925EE"/>
    <w:rsid w:val="00F97BD5"/>
    <w:rsid w:val="00F97C57"/>
    <w:rsid w:val="00FA7CEF"/>
    <w:rsid w:val="00FB1155"/>
    <w:rsid w:val="00FB1BFC"/>
    <w:rsid w:val="00FB2142"/>
    <w:rsid w:val="00FB5881"/>
    <w:rsid w:val="00FB7DC0"/>
    <w:rsid w:val="00FB7F01"/>
    <w:rsid w:val="00FC1417"/>
    <w:rsid w:val="00FC56E5"/>
    <w:rsid w:val="00FD7061"/>
    <w:rsid w:val="00FE1718"/>
    <w:rsid w:val="00FE4D56"/>
    <w:rsid w:val="00FE7307"/>
    <w:rsid w:val="00FF2F68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521E09D"/>
  <w15:docId w15:val="{06DC4BA1-ED84-4D2C-8E43-158CD892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730"/>
    <w:rPr>
      <w:rFonts w:ascii="Arial" w:hAnsi="Arial"/>
      <w:sz w:val="22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2F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1">
    <w:name w:val="Formatvorlage1"/>
    <w:basedOn w:val="Absatz-Standardschriftart"/>
    <w:rsid w:val="00F0122A"/>
  </w:style>
  <w:style w:type="table" w:styleId="Tabellenraster">
    <w:name w:val="Table Grid"/>
    <w:basedOn w:val="NormaleTabelle"/>
    <w:uiPriority w:val="59"/>
    <w:rsid w:val="006D3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D3BD5"/>
    <w:rPr>
      <w:color w:val="0000FF"/>
      <w:u w:val="single"/>
    </w:rPr>
  </w:style>
  <w:style w:type="paragraph" w:styleId="Sprechblasentext">
    <w:name w:val="Balloon Text"/>
    <w:basedOn w:val="Standard"/>
    <w:semiHidden/>
    <w:rsid w:val="00D8073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C81C9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81C9A"/>
    <w:pPr>
      <w:tabs>
        <w:tab w:val="center" w:pos="4536"/>
        <w:tab w:val="right" w:pos="9072"/>
      </w:tabs>
    </w:pPr>
  </w:style>
  <w:style w:type="character" w:styleId="Fett">
    <w:name w:val="Strong"/>
    <w:uiPriority w:val="22"/>
    <w:qFormat/>
    <w:rsid w:val="00D15D17"/>
    <w:rPr>
      <w:b/>
      <w:bCs/>
      <w:strike w:val="0"/>
      <w:dstrike w:val="0"/>
      <w:color w:val="00305E"/>
      <w:u w:val="none"/>
      <w:effect w:val="none"/>
    </w:rPr>
  </w:style>
  <w:style w:type="character" w:styleId="BesuchterLink">
    <w:name w:val="FollowedHyperlink"/>
    <w:uiPriority w:val="99"/>
    <w:semiHidden/>
    <w:unhideWhenUsed/>
    <w:rsid w:val="00756F48"/>
    <w:rPr>
      <w:color w:val="800080"/>
      <w:u w:val="single"/>
    </w:rPr>
  </w:style>
  <w:style w:type="paragraph" w:styleId="Textkrper">
    <w:name w:val="Body Text"/>
    <w:basedOn w:val="Standard"/>
    <w:link w:val="TextkrperZchn"/>
    <w:rsid w:val="00883B24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lang w:eastAsia="hi-IN" w:bidi="hi-IN"/>
    </w:rPr>
  </w:style>
  <w:style w:type="character" w:customStyle="1" w:styleId="TextkrperZchn">
    <w:name w:val="Textkörper Zchn"/>
    <w:link w:val="Textkrper"/>
    <w:rsid w:val="00883B24"/>
    <w:rPr>
      <w:rFonts w:eastAsia="SimSun" w:cs="Mangal"/>
      <w:kern w:val="1"/>
      <w:sz w:val="24"/>
      <w:szCs w:val="24"/>
      <w:lang w:eastAsia="hi-IN" w:bidi="hi-IN"/>
    </w:rPr>
  </w:style>
  <w:style w:type="paragraph" w:styleId="Listenabsatz">
    <w:name w:val="List Paragraph"/>
    <w:basedOn w:val="Standard"/>
    <w:uiPriority w:val="34"/>
    <w:qFormat/>
    <w:rsid w:val="003C70CE"/>
    <w:pPr>
      <w:spacing w:after="200" w:line="276" w:lineRule="auto"/>
      <w:ind w:left="720"/>
      <w:contextualSpacing/>
    </w:pPr>
    <w:rPr>
      <w:rFonts w:eastAsia="Calibri" w:cs="Arial"/>
      <w:szCs w:val="22"/>
    </w:rPr>
  </w:style>
  <w:style w:type="paragraph" w:styleId="StandardWeb">
    <w:name w:val="Normal (Web)"/>
    <w:basedOn w:val="Standard"/>
    <w:uiPriority w:val="99"/>
    <w:semiHidden/>
    <w:unhideWhenUsed/>
    <w:rsid w:val="003C70C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nomargin">
    <w:name w:val="nomargin"/>
    <w:basedOn w:val="Standard"/>
    <w:rsid w:val="003C70C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ervorhebung">
    <w:name w:val="Emphasis"/>
    <w:uiPriority w:val="20"/>
    <w:qFormat/>
    <w:rsid w:val="0014240F"/>
    <w:rPr>
      <w:i/>
      <w:iCs/>
    </w:rPr>
  </w:style>
  <w:style w:type="paragraph" w:styleId="NurText">
    <w:name w:val="Plain Text"/>
    <w:basedOn w:val="Standard"/>
    <w:link w:val="NurTextZchn"/>
    <w:uiPriority w:val="99"/>
    <w:semiHidden/>
    <w:unhideWhenUsed/>
    <w:rsid w:val="00426278"/>
    <w:rPr>
      <w:rFonts w:ascii="Calibri" w:eastAsia="Calibri" w:hAnsi="Calibri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426278"/>
    <w:rPr>
      <w:rFonts w:ascii="Calibri" w:eastAsia="Calibri" w:hAnsi="Calibri"/>
      <w:sz w:val="22"/>
      <w:szCs w:val="21"/>
      <w:lang w:eastAsia="en-US"/>
    </w:rPr>
  </w:style>
  <w:style w:type="paragraph" w:styleId="KeinLeerraum">
    <w:name w:val="No Spacing"/>
    <w:uiPriority w:val="1"/>
    <w:qFormat/>
    <w:rsid w:val="00504037"/>
    <w:rPr>
      <w:rFonts w:ascii="Arial" w:hAnsi="Arial"/>
      <w:sz w:val="22"/>
      <w:szCs w:val="24"/>
    </w:rPr>
  </w:style>
  <w:style w:type="paragraph" w:customStyle="1" w:styleId="bodytext">
    <w:name w:val="bodytext"/>
    <w:basedOn w:val="Standard"/>
    <w:rsid w:val="000C72C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rsid w:val="006B3E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77C64"/>
    <w:rPr>
      <w:rFonts w:eastAsia="Calibr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77C64"/>
    <w:rPr>
      <w:rFonts w:ascii="Arial" w:eastAsia="Calibri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177C64"/>
    <w:rPr>
      <w:vertAlign w:val="superscript"/>
    </w:rPr>
  </w:style>
  <w:style w:type="character" w:customStyle="1" w:styleId="KopfzeileZchn">
    <w:name w:val="Kopfzeile Zchn"/>
    <w:basedOn w:val="Absatz-Standardschriftart"/>
    <w:link w:val="Kopfzeile"/>
    <w:uiPriority w:val="99"/>
    <w:rsid w:val="00AA1E78"/>
    <w:rPr>
      <w:rFonts w:ascii="Arial" w:hAnsi="Arial"/>
      <w:sz w:val="22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2F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0D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0DAF"/>
    <w:pPr>
      <w:spacing w:after="200"/>
    </w:pPr>
    <w:rPr>
      <w:rFonts w:eastAsia="Calibri" w:cstheme="minorHAns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0DAF"/>
    <w:rPr>
      <w:rFonts w:ascii="Arial" w:eastAsia="Calibri" w:hAnsi="Arial" w:cstheme="minorHAns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039B"/>
    <w:pPr>
      <w:spacing w:after="0"/>
    </w:pPr>
    <w:rPr>
      <w:rFonts w:eastAsia="Times New Roman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039B"/>
    <w:rPr>
      <w:rFonts w:ascii="Arial" w:eastAsia="Calibri" w:hAnsi="Arial" w:cs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3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3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7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9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8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8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ratsamt-pirna.de/windplanung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5657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Landkreis Sächsische Schweiz -Landratsamt-</Company>
  <LinksUpToDate>false</LinksUpToDate>
  <CharactersWithSpaces>6401</CharactersWithSpaces>
  <SharedDoc>false</SharedDoc>
  <HLinks>
    <vt:vector size="6" baseType="variant">
      <vt:variant>
        <vt:i4>7995477</vt:i4>
      </vt:variant>
      <vt:variant>
        <vt:i4>0</vt:i4>
      </vt:variant>
      <vt:variant>
        <vt:i4>0</vt:i4>
      </vt:variant>
      <vt:variant>
        <vt:i4>5</vt:i4>
      </vt:variant>
      <vt:variant>
        <vt:lpwstr>mailto:nadja.bauer@landratsamt-pirna.de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creator>Kunz, Thomas</dc:creator>
  <cp:lastModifiedBy>Thamm, Mareike</cp:lastModifiedBy>
  <cp:revision>4</cp:revision>
  <cp:lastPrinted>2026-06-04T14:24:00Z</cp:lastPrinted>
  <dcterms:created xsi:type="dcterms:W3CDTF">2026-09-03T11:26:00Z</dcterms:created>
  <dcterms:modified xsi:type="dcterms:W3CDTF">2026-09-10T07:02:00Z</dcterms:modified>
</cp:coreProperties>
</file>